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6E67C462" w14:textId="77777777" w:rsidR="00A160B2" w:rsidRDefault="00784A42" w:rsidP="00784A42">
            <w:pPr>
              <w:pStyle w:val="Heading1"/>
              <w:outlineLvl w:val="0"/>
            </w:pPr>
            <w:r>
              <w:t>Pension Fund C</w:t>
            </w:r>
            <w:r w:rsidR="00A160B2">
              <w:t>ommittee</w:t>
            </w:r>
          </w:p>
          <w:p w14:paraId="55A88F66" w14:textId="45EE9F72" w:rsidR="00784A42" w:rsidRPr="00784A42" w:rsidRDefault="00784A42" w:rsidP="00784A42"/>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E3E8AE9" w:rsidR="00A160B2" w:rsidRDefault="00C13B81" w:rsidP="006C3150">
            <w:pPr>
              <w:pStyle w:val="Infotext"/>
              <w:rPr>
                <w:rFonts w:cs="Arial"/>
              </w:rPr>
            </w:pPr>
            <w:r>
              <w:rPr>
                <w:rFonts w:cs="Arial"/>
              </w:rPr>
              <w:t>24</w:t>
            </w:r>
            <w:r w:rsidR="007B1BBB">
              <w:rPr>
                <w:rFonts w:cs="Arial"/>
              </w:rPr>
              <w:t xml:space="preserve"> </w:t>
            </w:r>
            <w:r>
              <w:rPr>
                <w:rFonts w:cs="Arial"/>
              </w:rPr>
              <w:t>Nov</w:t>
            </w:r>
            <w:r w:rsidR="007B1BBB">
              <w:rPr>
                <w:rFonts w:cs="Arial"/>
              </w:rPr>
              <w:t>ember</w:t>
            </w:r>
            <w:r w:rsidR="00784A42">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7D1257" w:rsidR="00A160B2" w:rsidRDefault="003453FF" w:rsidP="006C3150">
            <w:pPr>
              <w:pStyle w:val="Infotext"/>
              <w:rPr>
                <w:rFonts w:cs="Arial"/>
              </w:rPr>
            </w:pPr>
            <w:r w:rsidRPr="00FF783D">
              <w:rPr>
                <w:rFonts w:cs="Arial"/>
                <w:szCs w:val="28"/>
              </w:rPr>
              <w:t>Performance Dashboard and Update on Regular Items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3B12F287" w:rsidR="00A160B2" w:rsidRDefault="001C7629" w:rsidP="006C3150">
            <w:pPr>
              <w:pStyle w:val="Infotext"/>
              <w:rPr>
                <w:rFonts w:cs="Arial"/>
              </w:rPr>
            </w:pPr>
            <w:r>
              <w:rPr>
                <w:rFonts w:cs="Arial"/>
              </w:rPr>
              <w:t xml:space="preserve">Dawn Calvert – Director of Finance and Assurance </w:t>
            </w: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6B967A5" w14:textId="72361BB7" w:rsidR="001C7629" w:rsidRDefault="001C7629" w:rsidP="001C7629">
            <w:pPr>
              <w:pStyle w:val="Infotext"/>
              <w:rPr>
                <w:rFonts w:cs="Arial"/>
              </w:rPr>
            </w:pPr>
            <w:r>
              <w:rPr>
                <w:rFonts w:cs="Arial"/>
                <w:szCs w:val="28"/>
              </w:rPr>
              <w:t xml:space="preserve">No - except for Appendix 3 and 4 which are </w:t>
            </w:r>
            <w:r w:rsidRPr="00451341">
              <w:rPr>
                <w:rFonts w:cs="Arial"/>
                <w:szCs w:val="28"/>
              </w:rPr>
              <w:t xml:space="preserve"> </w:t>
            </w:r>
            <w:r>
              <w:rPr>
                <w:rFonts w:cs="Arial"/>
                <w:szCs w:val="28"/>
              </w:rPr>
              <w:t>E</w:t>
            </w:r>
            <w:r w:rsidRPr="00451341">
              <w:rPr>
                <w:rFonts w:cs="Arial"/>
                <w:szCs w:val="28"/>
              </w:rPr>
              <w:t>xempt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C3150">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5D43D1" w:rsidRDefault="00A160B2" w:rsidP="006C3150">
            <w:pPr>
              <w:pStyle w:val="Infotext"/>
            </w:pPr>
          </w:p>
          <w:p w14:paraId="2C40228B" w14:textId="2717E5D7" w:rsidR="001C7629" w:rsidRPr="005D43D1" w:rsidRDefault="001C7629" w:rsidP="001C7629">
            <w:pPr>
              <w:pStyle w:val="Infotext"/>
              <w:rPr>
                <w:rFonts w:cs="Arial"/>
                <w:b/>
                <w:sz w:val="24"/>
                <w:szCs w:val="24"/>
              </w:rPr>
            </w:pPr>
            <w:r w:rsidRPr="005D43D1">
              <w:rPr>
                <w:rFonts w:cs="Arial"/>
                <w:b/>
                <w:sz w:val="24"/>
                <w:szCs w:val="24"/>
              </w:rPr>
              <w:t>Appendix 1: Investment Dashboard as at 3</w:t>
            </w:r>
            <w:r w:rsidR="00E94032">
              <w:rPr>
                <w:rFonts w:cs="Arial"/>
                <w:b/>
                <w:sz w:val="24"/>
                <w:szCs w:val="24"/>
              </w:rPr>
              <w:t xml:space="preserve">0 </w:t>
            </w:r>
            <w:r w:rsidR="00C13B81">
              <w:rPr>
                <w:rFonts w:cs="Arial"/>
                <w:b/>
                <w:sz w:val="24"/>
                <w:szCs w:val="24"/>
              </w:rPr>
              <w:t>September</w:t>
            </w:r>
            <w:r w:rsidRPr="005D43D1">
              <w:rPr>
                <w:rFonts w:cs="Arial"/>
                <w:b/>
                <w:sz w:val="24"/>
                <w:szCs w:val="24"/>
              </w:rPr>
              <w:t xml:space="preserve"> 2021 (Aon)</w:t>
            </w:r>
          </w:p>
          <w:p w14:paraId="3379FA2D" w14:textId="580D266B" w:rsidR="001C7629" w:rsidRPr="005D43D1" w:rsidRDefault="001C7629" w:rsidP="001C7629">
            <w:pPr>
              <w:pStyle w:val="Default"/>
              <w:rPr>
                <w:b/>
                <w:bCs/>
              </w:rPr>
            </w:pPr>
            <w:r w:rsidRPr="005D43D1">
              <w:rPr>
                <w:b/>
              </w:rPr>
              <w:t xml:space="preserve">Appendix 2: PIRC </w:t>
            </w:r>
            <w:r w:rsidRPr="005D43D1">
              <w:rPr>
                <w:b/>
                <w:bCs/>
              </w:rPr>
              <w:t xml:space="preserve">Local Authority Pension Performance Indicators to </w:t>
            </w:r>
            <w:r w:rsidR="007B1BBB">
              <w:rPr>
                <w:b/>
                <w:bCs/>
              </w:rPr>
              <w:t>30</w:t>
            </w:r>
            <w:r w:rsidRPr="005D43D1">
              <w:rPr>
                <w:b/>
                <w:bCs/>
              </w:rPr>
              <w:t xml:space="preserve"> </w:t>
            </w:r>
            <w:r w:rsidR="00C13B81">
              <w:rPr>
                <w:b/>
                <w:bCs/>
              </w:rPr>
              <w:t>September</w:t>
            </w:r>
            <w:r w:rsidRPr="005D43D1">
              <w:rPr>
                <w:b/>
                <w:bCs/>
              </w:rPr>
              <w:t xml:space="preserve"> 2021</w:t>
            </w:r>
          </w:p>
          <w:p w14:paraId="697F60DB" w14:textId="77777777" w:rsidR="001C7629" w:rsidRPr="005D43D1" w:rsidRDefault="001C7629" w:rsidP="001C7629">
            <w:pPr>
              <w:pStyle w:val="Default"/>
              <w:rPr>
                <w:b/>
              </w:rPr>
            </w:pPr>
            <w:r w:rsidRPr="005D43D1">
              <w:rPr>
                <w:b/>
                <w:bCs/>
              </w:rPr>
              <w:t xml:space="preserve">(Exempt) Appendix 3 </w:t>
            </w:r>
            <w:r w:rsidRPr="005D43D1">
              <w:rPr>
                <w:b/>
              </w:rPr>
              <w:t>Manager Monitoring Report - Executive Summary (Aon)</w:t>
            </w:r>
          </w:p>
          <w:p w14:paraId="56B3A536" w14:textId="77777777" w:rsidR="001C7629" w:rsidRPr="005D43D1" w:rsidRDefault="001C7629" w:rsidP="001C7629">
            <w:pPr>
              <w:pStyle w:val="Default"/>
              <w:rPr>
                <w:b/>
              </w:rPr>
            </w:pPr>
            <w:r w:rsidRPr="005D43D1">
              <w:rPr>
                <w:b/>
                <w:bCs/>
              </w:rPr>
              <w:t>(Exempt) Appendix 4 - Report from Independent Advisor</w:t>
            </w:r>
          </w:p>
          <w:p w14:paraId="1848CAE4" w14:textId="04D01EB9" w:rsidR="00A160B2" w:rsidRPr="005D43D1" w:rsidRDefault="001C7629" w:rsidP="001C7629">
            <w:pPr>
              <w:pStyle w:val="Infotext"/>
              <w:rPr>
                <w:b/>
                <w:bCs/>
                <w:sz w:val="24"/>
                <w:szCs w:val="24"/>
              </w:rPr>
            </w:pPr>
            <w:r w:rsidRPr="005D43D1">
              <w:rPr>
                <w:b/>
                <w:bCs/>
                <w:sz w:val="24"/>
                <w:szCs w:val="24"/>
              </w:rPr>
              <w:t>Appendix 5 – Fund Value as at 3</w:t>
            </w:r>
            <w:r w:rsidR="00C13B81">
              <w:rPr>
                <w:b/>
                <w:bCs/>
                <w:sz w:val="24"/>
                <w:szCs w:val="24"/>
              </w:rPr>
              <w:t>0 September</w:t>
            </w:r>
            <w:r w:rsidRPr="005D43D1">
              <w:rPr>
                <w:b/>
                <w:bCs/>
                <w:sz w:val="24"/>
                <w:szCs w:val="24"/>
              </w:rPr>
              <w:t xml:space="preserve"> </w:t>
            </w:r>
            <w:r w:rsidR="00286484">
              <w:rPr>
                <w:b/>
                <w:bCs/>
                <w:sz w:val="24"/>
                <w:szCs w:val="24"/>
              </w:rPr>
              <w:t xml:space="preserve">and 31 October </w:t>
            </w:r>
            <w:r w:rsidRPr="005D43D1">
              <w:rPr>
                <w:b/>
                <w:bCs/>
                <w:sz w:val="24"/>
                <w:szCs w:val="24"/>
              </w:rPr>
              <w:t xml:space="preserve">2021 </w:t>
            </w:r>
          </w:p>
          <w:p w14:paraId="4C232B02" w14:textId="1C43A708" w:rsidR="0082172F" w:rsidRPr="005D43D1" w:rsidRDefault="0082172F" w:rsidP="001C7629">
            <w:pPr>
              <w:pStyle w:val="Infotext"/>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77777777" w:rsidR="001C7629" w:rsidRPr="0037270C" w:rsidRDefault="001C7629" w:rsidP="001C7629">
            <w:r w:rsidRPr="0037270C">
              <w:t>This report updates the Committee on regular items as follows:</w:t>
            </w:r>
          </w:p>
          <w:p w14:paraId="02D81F98" w14:textId="77777777" w:rsidR="001C7629" w:rsidRPr="0037270C" w:rsidRDefault="001C7629" w:rsidP="001C7629">
            <w:pPr>
              <w:numPr>
                <w:ilvl w:val="0"/>
                <w:numId w:val="16"/>
              </w:numPr>
              <w:jc w:val="both"/>
            </w:pPr>
            <w:r w:rsidRPr="0037270C">
              <w:t xml:space="preserve">Draft work programme on which the Committee’s comments and agreement are requested. </w:t>
            </w:r>
          </w:p>
          <w:p w14:paraId="3840ACB0" w14:textId="77777777" w:rsidR="001C7629" w:rsidRPr="0037270C" w:rsidRDefault="001C7629" w:rsidP="001C7629">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411D6396" w:rsidR="001C7629" w:rsidRPr="0037270C" w:rsidRDefault="001C7629" w:rsidP="001C7629">
            <w:pPr>
              <w:numPr>
                <w:ilvl w:val="0"/>
                <w:numId w:val="16"/>
              </w:numPr>
            </w:pPr>
            <w:r w:rsidRPr="0037270C">
              <w:t xml:space="preserve">Fund performance to </w:t>
            </w:r>
            <w:r w:rsidR="007B1BBB">
              <w:t>30</w:t>
            </w:r>
            <w:r w:rsidR="007B1BBB" w:rsidRPr="007B1BBB">
              <w:rPr>
                <w:vertAlign w:val="superscript"/>
              </w:rPr>
              <w:t>th</w:t>
            </w:r>
            <w:r w:rsidR="007B1BBB">
              <w:t xml:space="preserve"> </w:t>
            </w:r>
            <w:r w:rsidR="00201A56">
              <w:t>September</w:t>
            </w:r>
            <w:r>
              <w:t xml:space="preserve"> </w:t>
            </w:r>
            <w:r w:rsidR="00286484">
              <w:t>and 31</w:t>
            </w:r>
            <w:r w:rsidR="00286484" w:rsidRPr="00286484">
              <w:rPr>
                <w:vertAlign w:val="superscript"/>
              </w:rPr>
              <w:t>st</w:t>
            </w:r>
            <w:r w:rsidR="00286484">
              <w:t xml:space="preserve"> October 2021</w:t>
            </w:r>
          </w:p>
          <w:p w14:paraId="06141975" w14:textId="77777777" w:rsidR="001C7629" w:rsidRPr="0037270C" w:rsidRDefault="001C7629" w:rsidP="001C7629">
            <w:pPr>
              <w:numPr>
                <w:ilvl w:val="0"/>
                <w:numId w:val="16"/>
              </w:numPr>
            </w:pPr>
            <w:r w:rsidRPr="0037270C">
              <w:t>Update on Pension Board</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18BDEEEB" w:rsidR="00A160B2" w:rsidRDefault="001C7629" w:rsidP="00A160B2">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w:t>
            </w:r>
            <w:r w:rsidR="00FD6547">
              <w:rPr>
                <w:rFonts w:cs="Arial"/>
                <w:szCs w:val="24"/>
              </w:rPr>
              <w:t xml:space="preserve">approve </w:t>
            </w:r>
            <w:r>
              <w:rPr>
                <w:rFonts w:cs="Arial"/>
                <w:szCs w:val="24"/>
              </w:rPr>
              <w:t xml:space="preserve">the </w:t>
            </w:r>
            <w:r w:rsidR="00FD6547">
              <w:rPr>
                <w:rFonts w:cs="Arial"/>
                <w:szCs w:val="24"/>
              </w:rPr>
              <w:t xml:space="preserve">draft </w:t>
            </w:r>
            <w:r>
              <w:rPr>
                <w:rFonts w:cs="Arial"/>
                <w:szCs w:val="24"/>
              </w:rPr>
              <w:t>work programme for the remainder of 2021-22.</w:t>
            </w:r>
          </w:p>
        </w:tc>
      </w:tr>
    </w:tbl>
    <w:p w14:paraId="53DC7DE2" w14:textId="77777777" w:rsidR="002A2389" w:rsidRDefault="002A2389" w:rsidP="00A160B2">
      <w:pPr>
        <w:pStyle w:val="Heading2"/>
      </w:pPr>
      <w:r>
        <w:t>Section 2 – Report</w:t>
      </w:r>
    </w:p>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77777777" w:rsidR="001C7629" w:rsidRPr="00755241" w:rsidRDefault="001C7629" w:rsidP="001C7629">
      <w:pPr>
        <w:numPr>
          <w:ilvl w:val="0"/>
          <w:numId w:val="18"/>
        </w:numPr>
        <w:ind w:left="426" w:hanging="426"/>
      </w:pPr>
      <w:r w:rsidRPr="00755241">
        <w:t>This report updates the Committee on regular items as follows:</w:t>
      </w:r>
    </w:p>
    <w:p w14:paraId="60CE0D71" w14:textId="3A556F63" w:rsidR="001C7629" w:rsidRPr="00755241" w:rsidRDefault="001C7629" w:rsidP="001C7629">
      <w:pPr>
        <w:numPr>
          <w:ilvl w:val="0"/>
          <w:numId w:val="16"/>
        </w:numPr>
        <w:ind w:firstLine="273"/>
      </w:pPr>
      <w:r w:rsidRPr="00755241">
        <w:t xml:space="preserve">Draft work programme for </w:t>
      </w:r>
      <w:r>
        <w:t>2021-22</w:t>
      </w:r>
      <w:r w:rsidRPr="00755241">
        <w:t xml:space="preserve"> (Sub-section B)</w:t>
      </w:r>
    </w:p>
    <w:p w14:paraId="5BE697FE" w14:textId="77777777" w:rsidR="001C7629" w:rsidRDefault="001C7629" w:rsidP="001C7629">
      <w:pPr>
        <w:numPr>
          <w:ilvl w:val="0"/>
          <w:numId w:val="16"/>
        </w:numPr>
        <w:ind w:left="1418" w:hanging="425"/>
      </w:pPr>
      <w:r>
        <w:t xml:space="preserve">Investment and Manager Performance Dashboard </w:t>
      </w:r>
      <w:r w:rsidRPr="00755241">
        <w:t>(Sub-section C)</w:t>
      </w:r>
      <w:r>
        <w:t xml:space="preserve"> and Appendix 1-4 </w:t>
      </w:r>
    </w:p>
    <w:p w14:paraId="3861D35A" w14:textId="6511684C" w:rsidR="001C7629" w:rsidRPr="00755241" w:rsidRDefault="001C7629" w:rsidP="001C7629">
      <w:pPr>
        <w:numPr>
          <w:ilvl w:val="0"/>
          <w:numId w:val="16"/>
        </w:numPr>
        <w:ind w:left="1418" w:hanging="425"/>
      </w:pPr>
      <w:r>
        <w:t xml:space="preserve">Fund Performance and actions </w:t>
      </w:r>
      <w:r w:rsidRPr="00755241">
        <w:t xml:space="preserve">for periods ended </w:t>
      </w:r>
      <w:r>
        <w:t>3</w:t>
      </w:r>
      <w:r w:rsidR="007B1BBB">
        <w:t>0</w:t>
      </w:r>
      <w:r w:rsidR="00286484">
        <w:t xml:space="preserve"> September</w:t>
      </w:r>
      <w:r>
        <w:t xml:space="preserve"> 2021 (</w:t>
      </w:r>
      <w:r w:rsidR="00FC3F6A">
        <w:t xml:space="preserve">Sub-section D </w:t>
      </w:r>
      <w:r>
        <w:t>and Appendix 5</w:t>
      </w:r>
      <w:r w:rsidR="00FC3F6A">
        <w:t>)</w:t>
      </w:r>
      <w:r w:rsidR="005D43D1">
        <w:t xml:space="preserve"> and </w:t>
      </w:r>
      <w:r w:rsidR="007B1BBB">
        <w:t xml:space="preserve">31 </w:t>
      </w:r>
      <w:r w:rsidR="00286484">
        <w:t xml:space="preserve">October </w:t>
      </w:r>
      <w:r w:rsidR="007B1BBB">
        <w:t>2021</w:t>
      </w:r>
      <w:r w:rsidR="005D43D1">
        <w:t xml:space="preserve">(Appendix </w:t>
      </w:r>
      <w:r w:rsidR="007B1BBB">
        <w:t>5</w:t>
      </w:r>
      <w:r w:rsidR="005D43D1">
        <w:t>)</w:t>
      </w:r>
    </w:p>
    <w:p w14:paraId="1BF5E2A3" w14:textId="77777777" w:rsidR="001C7629" w:rsidRPr="00755241" w:rsidRDefault="001C7629" w:rsidP="001C7629">
      <w:pPr>
        <w:numPr>
          <w:ilvl w:val="0"/>
          <w:numId w:val="16"/>
        </w:numPr>
        <w:ind w:firstLine="273"/>
      </w:pPr>
      <w:r w:rsidRPr="00755241">
        <w:t xml:space="preserve">Issues raised by Pension Board (Sub-section </w:t>
      </w:r>
      <w:r>
        <w:t>E</w:t>
      </w:r>
      <w:r w:rsidRPr="00755241">
        <w:t>)</w:t>
      </w:r>
    </w:p>
    <w:p w14:paraId="430450DF" w14:textId="77777777" w:rsidR="001C7629" w:rsidRPr="00755241" w:rsidRDefault="001C7629" w:rsidP="001C7629">
      <w:pPr>
        <w:ind w:left="993"/>
      </w:pPr>
    </w:p>
    <w:p w14:paraId="179F43B2" w14:textId="77777777" w:rsidR="001C7629" w:rsidRPr="00755241" w:rsidRDefault="001C7629" w:rsidP="001C7629">
      <w:pPr>
        <w:rPr>
          <w:b/>
        </w:rPr>
      </w:pPr>
      <w:r w:rsidRPr="00755241">
        <w:rPr>
          <w:b/>
        </w:rPr>
        <w:t xml:space="preserve">B Draft Work Programme </w:t>
      </w:r>
      <w:r>
        <w:rPr>
          <w:b/>
        </w:rPr>
        <w:t>2021-22</w:t>
      </w:r>
    </w:p>
    <w:p w14:paraId="53F4BE7B" w14:textId="77777777" w:rsidR="001C7629" w:rsidRPr="00755241" w:rsidRDefault="001C7629" w:rsidP="001C7629">
      <w:pPr>
        <w:rPr>
          <w:b/>
        </w:rPr>
      </w:pPr>
    </w:p>
    <w:p w14:paraId="6F3C6513" w14:textId="77777777" w:rsidR="001C7629" w:rsidRDefault="001C7629" w:rsidP="001C7629">
      <w:pPr>
        <w:numPr>
          <w:ilvl w:val="0"/>
          <w:numId w:val="18"/>
        </w:numPr>
        <w:ind w:left="426" w:hanging="426"/>
        <w:jc w:val="both"/>
      </w:pPr>
      <w:r>
        <w:t>The dates set for future meetings of the Committee in the 2021-22 municipal year are as follows:</w:t>
      </w:r>
    </w:p>
    <w:p w14:paraId="114ED7EE" w14:textId="77777777" w:rsidR="001C7629" w:rsidRPr="006B5B52" w:rsidRDefault="001C7629" w:rsidP="001C7629">
      <w:pPr>
        <w:pStyle w:val="ListParagraph"/>
        <w:numPr>
          <w:ilvl w:val="0"/>
          <w:numId w:val="17"/>
        </w:numPr>
        <w:rPr>
          <w:rFonts w:eastAsia="Times New Roman"/>
          <w:sz w:val="24"/>
          <w:szCs w:val="24"/>
        </w:rPr>
      </w:pPr>
      <w:r w:rsidRPr="001C6F48">
        <w:rPr>
          <w:rFonts w:eastAsia="Times New Roman"/>
          <w:sz w:val="24"/>
          <w:szCs w:val="24"/>
        </w:rPr>
        <w:t>Wednesday 9</w:t>
      </w:r>
      <w:r w:rsidRPr="001C6F48">
        <w:rPr>
          <w:rFonts w:eastAsia="Times New Roman"/>
          <w:sz w:val="24"/>
          <w:szCs w:val="24"/>
          <w:vertAlign w:val="superscript"/>
        </w:rPr>
        <w:t>th</w:t>
      </w:r>
      <w:r w:rsidRPr="001C6F48">
        <w:rPr>
          <w:rFonts w:eastAsia="Times New Roman"/>
          <w:sz w:val="24"/>
          <w:szCs w:val="24"/>
        </w:rPr>
        <w:t xml:space="preserve"> March</w:t>
      </w:r>
      <w:r w:rsidRPr="006B5B52">
        <w:rPr>
          <w:rFonts w:eastAsia="Times New Roman"/>
          <w:sz w:val="24"/>
          <w:szCs w:val="24"/>
        </w:rPr>
        <w:t xml:space="preserve"> 2022</w:t>
      </w:r>
    </w:p>
    <w:p w14:paraId="18BE73FF" w14:textId="77777777" w:rsidR="001C7629" w:rsidRDefault="001C7629" w:rsidP="001C7629">
      <w:pPr>
        <w:ind w:left="720"/>
        <w:jc w:val="both"/>
        <w:rPr>
          <w:szCs w:val="24"/>
        </w:rPr>
      </w:pPr>
    </w:p>
    <w:p w14:paraId="5D74B4E5" w14:textId="5B713E36" w:rsidR="001C7629" w:rsidRDefault="001C7629" w:rsidP="001C7629">
      <w:pPr>
        <w:numPr>
          <w:ilvl w:val="0"/>
          <w:numId w:val="18"/>
        </w:numPr>
        <w:ind w:left="426" w:hanging="426"/>
        <w:jc w:val="both"/>
      </w:pPr>
      <w:r>
        <w:t>An outline work programme has been drafted as follows:</w:t>
      </w:r>
    </w:p>
    <w:p w14:paraId="305343C6" w14:textId="77777777" w:rsidR="00C24A81" w:rsidRDefault="00C24A81" w:rsidP="00C24A81">
      <w:pPr>
        <w:ind w:left="426"/>
        <w:jc w:val="both"/>
      </w:pPr>
    </w:p>
    <w:p w14:paraId="055BE1A5" w14:textId="77777777" w:rsidR="00C24A81" w:rsidRPr="00B51E1E" w:rsidRDefault="00C24A81" w:rsidP="00C24A81">
      <w:pPr>
        <w:ind w:firstLine="426"/>
        <w:rPr>
          <w:b/>
        </w:rPr>
      </w:pPr>
      <w:r w:rsidRPr="00B51E1E">
        <w:rPr>
          <w:b/>
        </w:rPr>
        <w:t>9</w:t>
      </w:r>
      <w:r w:rsidRPr="007B1BBB">
        <w:rPr>
          <w:b/>
          <w:vertAlign w:val="superscript"/>
        </w:rPr>
        <w:t>th</w:t>
      </w:r>
      <w:r>
        <w:rPr>
          <w:b/>
        </w:rPr>
        <w:t xml:space="preserve"> </w:t>
      </w:r>
      <w:r w:rsidRPr="00B51E1E">
        <w:rPr>
          <w:b/>
        </w:rPr>
        <w:t>March 2022</w:t>
      </w:r>
    </w:p>
    <w:p w14:paraId="30EC1AD5" w14:textId="77777777" w:rsidR="00C24A81" w:rsidRPr="00B51E1E" w:rsidRDefault="00C24A81" w:rsidP="00C24A81">
      <w:pPr>
        <w:rPr>
          <w:b/>
        </w:rPr>
      </w:pPr>
    </w:p>
    <w:p w14:paraId="6CCE3771" w14:textId="77777777" w:rsidR="00C24A81" w:rsidRPr="00B51E1E" w:rsidRDefault="00C24A81" w:rsidP="00C24A81">
      <w:pPr>
        <w:ind w:firstLine="426"/>
      </w:pPr>
      <w:r w:rsidRPr="00B51E1E">
        <w:t>Update on regular items:</w:t>
      </w:r>
    </w:p>
    <w:p w14:paraId="3E31D0A1" w14:textId="77777777" w:rsidR="00C24A81" w:rsidRPr="00B51E1E" w:rsidRDefault="00C24A81" w:rsidP="00C24A81">
      <w:pPr>
        <w:numPr>
          <w:ilvl w:val="0"/>
          <w:numId w:val="16"/>
        </w:numPr>
        <w:ind w:firstLine="273"/>
      </w:pPr>
      <w:r w:rsidRPr="00B51E1E">
        <w:t>Draft work programme for 2022-23</w:t>
      </w:r>
    </w:p>
    <w:p w14:paraId="181D7D98" w14:textId="77777777" w:rsidR="00C24A81" w:rsidRPr="00B51E1E" w:rsidRDefault="00C24A81" w:rsidP="00C24A81">
      <w:pPr>
        <w:numPr>
          <w:ilvl w:val="0"/>
          <w:numId w:val="16"/>
        </w:numPr>
        <w:ind w:firstLine="273"/>
      </w:pPr>
      <w:r w:rsidRPr="00B51E1E">
        <w:t xml:space="preserve">Performance Dashboard 31 December 2021 </w:t>
      </w:r>
    </w:p>
    <w:p w14:paraId="3E67E02C" w14:textId="77777777" w:rsidR="00C24A81" w:rsidRPr="00B51E1E" w:rsidRDefault="00C24A81" w:rsidP="00C24A81">
      <w:pPr>
        <w:numPr>
          <w:ilvl w:val="0"/>
          <w:numId w:val="16"/>
        </w:numPr>
        <w:ind w:firstLine="273"/>
        <w:rPr>
          <w:b/>
        </w:rPr>
      </w:pPr>
      <w:r w:rsidRPr="00B51E1E">
        <w:t>Issues raised by Pension Board</w:t>
      </w:r>
    </w:p>
    <w:p w14:paraId="320FDB6A" w14:textId="77777777" w:rsidR="00C24A81" w:rsidRPr="00B51E1E" w:rsidRDefault="00C24A81" w:rsidP="00C24A81">
      <w:pPr>
        <w:ind w:firstLine="426"/>
        <w:rPr>
          <w:b/>
        </w:rPr>
      </w:pPr>
      <w:r>
        <w:t>Review of Pension Fund Risk Register and emerging</w:t>
      </w:r>
      <w:r w:rsidRPr="00B51E1E">
        <w:t xml:space="preserve"> risks</w:t>
      </w:r>
    </w:p>
    <w:p w14:paraId="25614CC6" w14:textId="77777777" w:rsidR="00C24A81" w:rsidRPr="00B51E1E" w:rsidRDefault="00C24A81" w:rsidP="00C24A81">
      <w:pPr>
        <w:ind w:firstLine="426"/>
      </w:pPr>
      <w:r>
        <w:t>Update and Approval of Fund Policies</w:t>
      </w:r>
    </w:p>
    <w:p w14:paraId="20CB048D" w14:textId="77777777" w:rsidR="00C24A81" w:rsidRDefault="00C24A81" w:rsidP="00C24A81">
      <w:pPr>
        <w:ind w:firstLine="426"/>
      </w:pPr>
      <w:r w:rsidRPr="00B51E1E">
        <w:t>Pooling and London Collective Investment Vehicle</w:t>
      </w:r>
    </w:p>
    <w:p w14:paraId="277A46AD" w14:textId="77777777" w:rsidR="00C24A81" w:rsidRPr="00B51E1E" w:rsidRDefault="00C24A81" w:rsidP="00C24A81">
      <w:pPr>
        <w:ind w:firstLine="426"/>
      </w:pPr>
      <w:r w:rsidRPr="00B51E1E">
        <w:t>External Audit plan 202</w:t>
      </w:r>
      <w:r>
        <w:t>1-22</w:t>
      </w:r>
    </w:p>
    <w:p w14:paraId="18F63032" w14:textId="77777777" w:rsidR="00C24A81" w:rsidRPr="00B51E1E" w:rsidRDefault="00C24A81" w:rsidP="00C24A81">
      <w:pPr>
        <w:ind w:firstLine="426"/>
      </w:pPr>
      <w:r w:rsidRPr="00B51E1E">
        <w:t>Training programme 2022-23</w:t>
      </w:r>
    </w:p>
    <w:p w14:paraId="37A39D5F" w14:textId="77777777" w:rsidR="00C24A81" w:rsidRPr="00B51E1E" w:rsidRDefault="00C24A81" w:rsidP="00C24A81">
      <w:pPr>
        <w:ind w:firstLine="426"/>
      </w:pPr>
      <w:r w:rsidRPr="00B51E1E">
        <w:t>Environmental, social and governance Issues</w:t>
      </w:r>
    </w:p>
    <w:p w14:paraId="2467772A" w14:textId="14E62075" w:rsidR="00C24A81" w:rsidRDefault="00C24A81" w:rsidP="00C24A81">
      <w:pPr>
        <w:tabs>
          <w:tab w:val="left" w:pos="5300"/>
        </w:tabs>
        <w:ind w:firstLine="426"/>
      </w:pPr>
      <w:r w:rsidRPr="00B51E1E">
        <w:t xml:space="preserve">Training session at 5.30 – </w:t>
      </w:r>
      <w:r>
        <w:t xml:space="preserve">subject </w:t>
      </w:r>
      <w:r w:rsidRPr="00B51E1E">
        <w:t>tbc</w:t>
      </w:r>
      <w:r>
        <w:tab/>
      </w:r>
    </w:p>
    <w:p w14:paraId="0AD2C791" w14:textId="533ECCC8" w:rsidR="00C24A81" w:rsidRDefault="00C24A81" w:rsidP="00C24A81">
      <w:pPr>
        <w:pStyle w:val="Heading5"/>
      </w:pPr>
    </w:p>
    <w:p w14:paraId="2B42FCF5" w14:textId="77777777" w:rsidR="00C24A81" w:rsidRDefault="00C24A81" w:rsidP="00C24A81">
      <w:pPr>
        <w:ind w:left="426"/>
        <w:jc w:val="both"/>
      </w:pPr>
    </w:p>
    <w:p w14:paraId="102CB9FF" w14:textId="15ED4F5F" w:rsidR="00FC3F6A" w:rsidRDefault="00201A56" w:rsidP="00FC3F6A">
      <w:pPr>
        <w:numPr>
          <w:ilvl w:val="0"/>
          <w:numId w:val="18"/>
        </w:numPr>
        <w:ind w:left="426" w:hanging="426"/>
        <w:jc w:val="both"/>
      </w:pPr>
      <w:r>
        <w:t xml:space="preserve">The remaining </w:t>
      </w:r>
      <w:r w:rsidR="001C7629">
        <w:t xml:space="preserve">meetings </w:t>
      </w:r>
      <w:r>
        <w:t>is</w:t>
      </w:r>
      <w:r w:rsidR="001C7629">
        <w:t xml:space="preserve"> currently scheduled to start at 6.30pm. </w:t>
      </w:r>
      <w:r w:rsidR="00FC3F6A">
        <w:t>I</w:t>
      </w:r>
      <w:r w:rsidR="001C7629">
        <w:t xml:space="preserve">t is intended that a training session will be held, before each meeting, beginning at beginning at 5.30pm. </w:t>
      </w:r>
      <w:r w:rsidR="00414C40">
        <w:t>Detailed a</w:t>
      </w:r>
      <w:r w:rsidR="001A63E1">
        <w:t xml:space="preserve">rrangements for the </w:t>
      </w:r>
      <w:r>
        <w:t xml:space="preserve">meeting will be </w:t>
      </w:r>
      <w:r w:rsidR="001A63E1">
        <w:t xml:space="preserve">confirmed </w:t>
      </w:r>
      <w:r>
        <w:t>nearer the date.</w:t>
      </w:r>
    </w:p>
    <w:p w14:paraId="4C0AB86B" w14:textId="77777777" w:rsidR="00C24A81" w:rsidRDefault="00C24A81" w:rsidP="00C24A81">
      <w:pPr>
        <w:ind w:left="426"/>
        <w:jc w:val="both"/>
      </w:pPr>
    </w:p>
    <w:p w14:paraId="2EA766F0" w14:textId="0ACE13A4" w:rsidR="001C7629" w:rsidRDefault="001C7629" w:rsidP="00C24A81">
      <w:pPr>
        <w:numPr>
          <w:ilvl w:val="0"/>
          <w:numId w:val="18"/>
        </w:numPr>
        <w:ind w:left="426" w:hanging="426"/>
        <w:jc w:val="both"/>
      </w:pPr>
      <w:r w:rsidRPr="00755241">
        <w:t>The Committee will have the opportunity to update this programme</w:t>
      </w:r>
      <w:r w:rsidR="00201A56">
        <w:t xml:space="preserve"> </w:t>
      </w:r>
      <w:r w:rsidRPr="00755241">
        <w:t>but are invited to comment on the draft above and agree it at this stage.</w:t>
      </w:r>
      <w:r>
        <w:t xml:space="preserve"> In addition to the items listed, </w:t>
      </w:r>
    </w:p>
    <w:p w14:paraId="4DFA551E" w14:textId="212AA550" w:rsidR="00C24A81" w:rsidRDefault="00C24A81" w:rsidP="00C24A81"/>
    <w:p w14:paraId="7948F999" w14:textId="77777777" w:rsidR="00C24A81" w:rsidRPr="00755241" w:rsidRDefault="00C24A81" w:rsidP="00C24A81">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3</w:t>
      </w:r>
      <w:r>
        <w:rPr>
          <w:rFonts w:cs="Arial"/>
          <w:b/>
          <w:szCs w:val="24"/>
        </w:rPr>
        <w:t>0 September 2021</w:t>
      </w:r>
    </w:p>
    <w:p w14:paraId="1CF83654" w14:textId="77777777" w:rsidR="00C24A81" w:rsidRDefault="00C24A81" w:rsidP="00C24A81"/>
    <w:p w14:paraId="7E5FB058" w14:textId="00915FB7" w:rsidR="001C7629" w:rsidRDefault="001C7629" w:rsidP="00C24A81">
      <w:pPr>
        <w:numPr>
          <w:ilvl w:val="0"/>
          <w:numId w:val="18"/>
        </w:numPr>
        <w:ind w:left="426" w:hanging="426"/>
        <w:jc w:val="both"/>
      </w:pPr>
      <w:r w:rsidRPr="00B51E1E">
        <w:t>Attached as Appendix 1 is a summary investment performance dashboard produced by Aon. It is designed to provide summary reporting and to streamline the performance reports presented to committee.</w:t>
      </w:r>
    </w:p>
    <w:p w14:paraId="6411A234" w14:textId="77777777" w:rsidR="00C24A81" w:rsidRDefault="00C24A81" w:rsidP="00C24A81">
      <w:pPr>
        <w:ind w:left="426"/>
        <w:jc w:val="both"/>
      </w:pPr>
    </w:p>
    <w:p w14:paraId="73C1EA29" w14:textId="5E0451F1" w:rsidR="001C7629" w:rsidRPr="00C24A81" w:rsidRDefault="001C7629" w:rsidP="001C7629">
      <w:pPr>
        <w:numPr>
          <w:ilvl w:val="0"/>
          <w:numId w:val="18"/>
        </w:numPr>
        <w:ind w:left="426" w:hanging="426"/>
        <w:jc w:val="both"/>
        <w:rPr>
          <w:szCs w:val="24"/>
        </w:rPr>
      </w:pPr>
      <w:r w:rsidRPr="00C24A81">
        <w:rPr>
          <w:szCs w:val="24"/>
        </w:rPr>
        <w:t xml:space="preserve">The investment dashboard shows the Pension Fund’s estimated Investment Funding Level of </w:t>
      </w:r>
      <w:r w:rsidR="00CE4CCF">
        <w:rPr>
          <w:szCs w:val="24"/>
        </w:rPr>
        <w:t>104%</w:t>
      </w:r>
      <w:r w:rsidRPr="00C24A81">
        <w:rPr>
          <w:szCs w:val="24"/>
        </w:rPr>
        <w:t xml:space="preserve"> as at 3</w:t>
      </w:r>
      <w:r w:rsidR="001A63E1" w:rsidRPr="00C24A81">
        <w:rPr>
          <w:szCs w:val="24"/>
        </w:rPr>
        <w:t>0</w:t>
      </w:r>
      <w:r w:rsidRPr="00C24A81">
        <w:rPr>
          <w:szCs w:val="24"/>
        </w:rPr>
        <w:t xml:space="preserve"> </w:t>
      </w:r>
      <w:r w:rsidR="00CE4CCF">
        <w:rPr>
          <w:szCs w:val="24"/>
        </w:rPr>
        <w:t>September</w:t>
      </w:r>
      <w:r w:rsidR="004C1AEC" w:rsidRPr="00C24A81">
        <w:rPr>
          <w:szCs w:val="24"/>
        </w:rPr>
        <w:t xml:space="preserve"> 2021</w:t>
      </w:r>
      <w:r w:rsidRPr="00C24A81">
        <w:rPr>
          <w:szCs w:val="24"/>
        </w:rPr>
        <w:t xml:space="preserve"> and the fund assets (£</w:t>
      </w:r>
      <w:r w:rsidR="00561EC5" w:rsidRPr="00C24A81">
        <w:rPr>
          <w:szCs w:val="24"/>
        </w:rPr>
        <w:t>1,0</w:t>
      </w:r>
      <w:r w:rsidR="00CE4CCF">
        <w:rPr>
          <w:szCs w:val="24"/>
        </w:rPr>
        <w:t>20</w:t>
      </w:r>
      <w:r w:rsidR="00201A56" w:rsidRPr="00C24A81">
        <w:rPr>
          <w:szCs w:val="24"/>
        </w:rPr>
        <w:t>9</w:t>
      </w:r>
      <w:r w:rsidRPr="00C24A81">
        <w:rPr>
          <w:szCs w:val="24"/>
        </w:rPr>
        <w:t>m) and liabilities (£</w:t>
      </w:r>
      <w:r w:rsidR="00CE4CCF">
        <w:rPr>
          <w:szCs w:val="24"/>
        </w:rPr>
        <w:t>985m</w:t>
      </w:r>
      <w:r w:rsidRPr="00C24A81">
        <w:rPr>
          <w:szCs w:val="24"/>
        </w:rPr>
        <w:t xml:space="preserve">). This estimate of liabilities is a rolled forward projection based on the 2019 actuarial valuation, the results of which were reported to the Committee in December 2019.  </w:t>
      </w:r>
    </w:p>
    <w:p w14:paraId="0151E0CB" w14:textId="77777777" w:rsidR="00C24A81" w:rsidRPr="00C24A81" w:rsidRDefault="00C24A81" w:rsidP="00C24A81">
      <w:pPr>
        <w:pStyle w:val="ListParagraph"/>
        <w:rPr>
          <w:szCs w:val="24"/>
        </w:rPr>
      </w:pPr>
    </w:p>
    <w:p w14:paraId="181BA506" w14:textId="6331800B" w:rsidR="00561EC5" w:rsidRDefault="001C7629" w:rsidP="00C24A81">
      <w:pPr>
        <w:numPr>
          <w:ilvl w:val="0"/>
          <w:numId w:val="18"/>
        </w:numPr>
        <w:ind w:left="426" w:hanging="426"/>
        <w:jc w:val="both"/>
        <w:rPr>
          <w:szCs w:val="24"/>
        </w:rPr>
      </w:pPr>
      <w:r w:rsidRPr="00C24A81">
        <w:rPr>
          <w:szCs w:val="24"/>
        </w:rPr>
        <w:t xml:space="preserve">The estimated funding level has improved since triennial valuation, despite the increase in the value of the Fund’s liabilities </w:t>
      </w:r>
      <w:r w:rsidR="00D24092" w:rsidRPr="00C24A81">
        <w:rPr>
          <w:szCs w:val="24"/>
        </w:rPr>
        <w:t>(</w:t>
      </w:r>
      <w:r w:rsidR="004C1AEC" w:rsidRPr="00C24A81">
        <w:rPr>
          <w:szCs w:val="24"/>
        </w:rPr>
        <w:t xml:space="preserve">which </w:t>
      </w:r>
      <w:r w:rsidR="00561EC5" w:rsidRPr="00C24A81">
        <w:rPr>
          <w:szCs w:val="24"/>
        </w:rPr>
        <w:t xml:space="preserve">is partly linked to </w:t>
      </w:r>
      <w:r w:rsidRPr="00C24A81">
        <w:rPr>
          <w:szCs w:val="24"/>
        </w:rPr>
        <w:t>the forecast yields on investments</w:t>
      </w:r>
      <w:r w:rsidR="00D24092" w:rsidRPr="00C24A81">
        <w:rPr>
          <w:szCs w:val="24"/>
        </w:rPr>
        <w:t>)</w:t>
      </w:r>
      <w:r w:rsidRPr="00C24A81">
        <w:rPr>
          <w:szCs w:val="24"/>
        </w:rPr>
        <w:t xml:space="preserve">, because </w:t>
      </w:r>
      <w:r w:rsidR="004C1AEC" w:rsidRPr="00C24A81">
        <w:rPr>
          <w:szCs w:val="24"/>
        </w:rPr>
        <w:t xml:space="preserve">returns on </w:t>
      </w:r>
      <w:r w:rsidRPr="00C24A81">
        <w:rPr>
          <w:szCs w:val="24"/>
        </w:rPr>
        <w:t xml:space="preserve">investments have </w:t>
      </w:r>
      <w:r w:rsidR="004C1AEC" w:rsidRPr="00C24A81">
        <w:rPr>
          <w:szCs w:val="24"/>
        </w:rPr>
        <w:t xml:space="preserve">exceeded expectations </w:t>
      </w:r>
      <w:r w:rsidRPr="00C24A81">
        <w:rPr>
          <w:szCs w:val="24"/>
        </w:rPr>
        <w:t xml:space="preserve">in that period. </w:t>
      </w:r>
      <w:r w:rsidR="00E53623" w:rsidRPr="00C24A81">
        <w:rPr>
          <w:szCs w:val="24"/>
        </w:rPr>
        <w:t xml:space="preserve">The improvement in the most recent quarter is due to </w:t>
      </w:r>
      <w:r w:rsidR="00D24092" w:rsidRPr="00C24A81">
        <w:rPr>
          <w:szCs w:val="24"/>
        </w:rPr>
        <w:t>the increase in value of i</w:t>
      </w:r>
      <w:r w:rsidR="00561EC5" w:rsidRPr="00C24A81">
        <w:rPr>
          <w:szCs w:val="24"/>
        </w:rPr>
        <w:t>nvestment</w:t>
      </w:r>
      <w:r w:rsidR="00D24092" w:rsidRPr="00C24A81">
        <w:rPr>
          <w:szCs w:val="24"/>
        </w:rPr>
        <w:t>s</w:t>
      </w:r>
      <w:r w:rsidR="00561EC5" w:rsidRPr="00C24A81">
        <w:rPr>
          <w:szCs w:val="24"/>
        </w:rPr>
        <w:t xml:space="preserve"> </w:t>
      </w:r>
      <w:r w:rsidR="00E53623" w:rsidRPr="00C24A81">
        <w:rPr>
          <w:szCs w:val="24"/>
        </w:rPr>
        <w:t xml:space="preserve">during that period. </w:t>
      </w:r>
    </w:p>
    <w:p w14:paraId="0731FDAE" w14:textId="77777777" w:rsidR="00C24A81" w:rsidRDefault="00C24A81" w:rsidP="00C24A81">
      <w:pPr>
        <w:pStyle w:val="ListParagraph"/>
        <w:rPr>
          <w:szCs w:val="24"/>
        </w:rPr>
      </w:pPr>
    </w:p>
    <w:p w14:paraId="71410AC6" w14:textId="11BBC167" w:rsidR="001C7629" w:rsidRDefault="00561EC5" w:rsidP="00C24A81">
      <w:pPr>
        <w:numPr>
          <w:ilvl w:val="0"/>
          <w:numId w:val="18"/>
        </w:numPr>
        <w:ind w:left="426" w:hanging="426"/>
        <w:jc w:val="both"/>
        <w:rPr>
          <w:szCs w:val="24"/>
        </w:rPr>
      </w:pPr>
      <w:r w:rsidRPr="00C24A81">
        <w:rPr>
          <w:szCs w:val="24"/>
        </w:rPr>
        <w:t xml:space="preserve">However, it should be noted that the </w:t>
      </w:r>
      <w:r w:rsidR="00CE4CCF">
        <w:rPr>
          <w:szCs w:val="24"/>
        </w:rPr>
        <w:t>104%</w:t>
      </w:r>
      <w:r w:rsidRPr="00C24A81">
        <w:rPr>
          <w:szCs w:val="24"/>
        </w:rPr>
        <w:t xml:space="preserve"> funding level relates only to “past service” benefits (i.e. service accrued to date). The Fund will also have to meet liabilities in respect of future service, which will </w:t>
      </w:r>
      <w:r w:rsidR="00D24092" w:rsidRPr="00C24A81">
        <w:rPr>
          <w:szCs w:val="24"/>
        </w:rPr>
        <w:t xml:space="preserve">in turn </w:t>
      </w:r>
      <w:r w:rsidRPr="00C24A81">
        <w:rPr>
          <w:szCs w:val="24"/>
        </w:rPr>
        <w:t xml:space="preserve">depend on pay levels and other factors. However, taking into account the changes in the forecast growth in liabilities (linked to inflation and pay settlements), and the forecast future return on investments, the probability of the Fund being </w:t>
      </w:r>
      <w:r w:rsidR="00324778" w:rsidRPr="00C24A81">
        <w:rPr>
          <w:szCs w:val="24"/>
        </w:rPr>
        <w:t xml:space="preserve">100% funded at the end of the agreed deficit recovery period has increased, and the investment return required to achieve this </w:t>
      </w:r>
      <w:r w:rsidR="00D24092" w:rsidRPr="00C24A81">
        <w:rPr>
          <w:szCs w:val="24"/>
        </w:rPr>
        <w:t xml:space="preserve">outcome </w:t>
      </w:r>
      <w:r w:rsidR="00324778" w:rsidRPr="00C24A81">
        <w:rPr>
          <w:szCs w:val="24"/>
        </w:rPr>
        <w:t xml:space="preserve">has fallen, both of which are “good news”. </w:t>
      </w:r>
      <w:r w:rsidR="001C7629" w:rsidRPr="00C24A81">
        <w:rPr>
          <w:szCs w:val="24"/>
        </w:rPr>
        <w:t>No de-risking actions are recommended at the current time.</w:t>
      </w:r>
    </w:p>
    <w:p w14:paraId="1B1D96D9" w14:textId="77777777" w:rsidR="00C24A81" w:rsidRDefault="00C24A81" w:rsidP="00C24A81">
      <w:pPr>
        <w:pStyle w:val="ListParagraph"/>
        <w:rPr>
          <w:szCs w:val="24"/>
        </w:rPr>
      </w:pPr>
    </w:p>
    <w:p w14:paraId="33FAD234" w14:textId="3384AE1F" w:rsidR="001C7629" w:rsidRDefault="001C7629" w:rsidP="00C24A81">
      <w:pPr>
        <w:numPr>
          <w:ilvl w:val="0"/>
          <w:numId w:val="18"/>
        </w:numPr>
        <w:ind w:left="426" w:hanging="426"/>
        <w:jc w:val="both"/>
        <w:rPr>
          <w:szCs w:val="24"/>
        </w:rPr>
      </w:pPr>
      <w:r w:rsidRPr="00C24A81">
        <w:rPr>
          <w:szCs w:val="24"/>
        </w:rPr>
        <w:t>The Dashboard includes a summary of asset allocation relative to the strategic benchmark. It also shows the current allocation made to the London CIV or under fee arrangements negotiated by the CIV (</w:t>
      </w:r>
      <w:r w:rsidR="00201A56" w:rsidRPr="00C24A81">
        <w:rPr>
          <w:szCs w:val="24"/>
        </w:rPr>
        <w:t>64.3%</w:t>
      </w:r>
      <w:r w:rsidRPr="00C24A81">
        <w:rPr>
          <w:szCs w:val="24"/>
        </w:rPr>
        <w:t>) and a summary of manager performance and manager rating.</w:t>
      </w:r>
    </w:p>
    <w:p w14:paraId="40CC106E" w14:textId="77777777" w:rsidR="00C24A81" w:rsidRDefault="00C24A81" w:rsidP="00C24A81">
      <w:pPr>
        <w:pStyle w:val="ListParagraph"/>
        <w:rPr>
          <w:szCs w:val="24"/>
        </w:rPr>
      </w:pPr>
    </w:p>
    <w:p w14:paraId="2E2CDFC5" w14:textId="675710FE" w:rsidR="001C7629" w:rsidRPr="00C24A81" w:rsidRDefault="001C7629" w:rsidP="00C24A81">
      <w:pPr>
        <w:numPr>
          <w:ilvl w:val="0"/>
          <w:numId w:val="18"/>
        </w:numPr>
        <w:ind w:left="426" w:hanging="426"/>
        <w:jc w:val="both"/>
        <w:rPr>
          <w:szCs w:val="24"/>
        </w:rPr>
      </w:pPr>
      <w:r w:rsidRPr="001A63E1">
        <w:t>The Fund subscribes to the performance data service provided by Pension and Investment Consultants Limited (PIRC) The PIRC performance report is attached as Appendix 2 to this report. The dashboard summarises the quarter, 1-year, 3-year and 5-year performance. Apart from the latest quarter, the performance in all of these timeframes was below the fund benchmark.</w:t>
      </w:r>
    </w:p>
    <w:p w14:paraId="69EA08FE" w14:textId="77777777" w:rsidR="00C24A81" w:rsidRDefault="00C24A81" w:rsidP="00C24A81">
      <w:pPr>
        <w:pStyle w:val="ListParagraph"/>
        <w:rPr>
          <w:szCs w:val="24"/>
        </w:rPr>
      </w:pPr>
    </w:p>
    <w:p w14:paraId="039082F4" w14:textId="5A89DD55" w:rsidR="001C7629" w:rsidRDefault="001C7629" w:rsidP="00C24A81">
      <w:pPr>
        <w:numPr>
          <w:ilvl w:val="0"/>
          <w:numId w:val="18"/>
        </w:numPr>
        <w:ind w:left="426" w:hanging="426"/>
        <w:jc w:val="both"/>
        <w:rPr>
          <w:szCs w:val="24"/>
        </w:rPr>
      </w:pPr>
      <w:r w:rsidRPr="00C24A81">
        <w:rPr>
          <w:szCs w:val="24"/>
        </w:rPr>
        <w:lastRenderedPageBreak/>
        <w:t>Appendix 3 Manager Monitoring Report - Executive Summary reports on managers who have received the Aon “qualified” or “in review” rating. This is summarised on the dashboard ‘Manager in Focus’ section. Appendix 4 sets out the comments of one of the Fund’s Independent Advisors in respect of the various managers’ performance and other related information</w:t>
      </w:r>
      <w:r w:rsidR="001C7067" w:rsidRPr="00C24A81">
        <w:rPr>
          <w:szCs w:val="24"/>
        </w:rPr>
        <w:t>.</w:t>
      </w:r>
      <w:r w:rsidRPr="00C24A81">
        <w:rPr>
          <w:szCs w:val="24"/>
        </w:rPr>
        <w:t xml:space="preserve"> </w:t>
      </w:r>
      <w:r w:rsidRPr="00C24A81">
        <w:rPr>
          <w:b/>
          <w:bCs/>
          <w:szCs w:val="24"/>
        </w:rPr>
        <w:t>These appendices</w:t>
      </w:r>
      <w:r w:rsidR="001C7067" w:rsidRPr="00C24A81">
        <w:rPr>
          <w:b/>
          <w:bCs/>
          <w:szCs w:val="24"/>
        </w:rPr>
        <w:t xml:space="preserve"> (3 and 4)</w:t>
      </w:r>
      <w:r w:rsidRPr="00C24A81">
        <w:rPr>
          <w:b/>
          <w:bCs/>
          <w:szCs w:val="24"/>
        </w:rPr>
        <w:t xml:space="preserve"> are exempt, so any discussion of the detail therein will need to be undertaken in Part II of the meeting.</w:t>
      </w:r>
      <w:r w:rsidRPr="00C24A81">
        <w:rPr>
          <w:szCs w:val="24"/>
        </w:rPr>
        <w:t xml:space="preserve"> </w:t>
      </w:r>
    </w:p>
    <w:p w14:paraId="0394EB32" w14:textId="77777777" w:rsidR="00C24A81" w:rsidRDefault="00C24A81" w:rsidP="00C24A81">
      <w:pPr>
        <w:pStyle w:val="ListParagraph"/>
        <w:rPr>
          <w:szCs w:val="24"/>
        </w:rPr>
      </w:pPr>
    </w:p>
    <w:p w14:paraId="765EA055" w14:textId="77777777" w:rsidR="00C24A81" w:rsidRPr="00C24A81" w:rsidRDefault="00C24A81" w:rsidP="00C24A81">
      <w:pPr>
        <w:jc w:val="both"/>
        <w:rPr>
          <w:szCs w:val="24"/>
        </w:rPr>
      </w:pPr>
      <w:r w:rsidRPr="00C24A81">
        <w:rPr>
          <w:b/>
          <w:szCs w:val="24"/>
        </w:rPr>
        <w:t xml:space="preserve">D Fund Performance and Valuation for Period Ended 30 September 2021 </w:t>
      </w:r>
    </w:p>
    <w:p w14:paraId="50819078" w14:textId="77777777" w:rsidR="00C24A81" w:rsidRPr="00C24A81" w:rsidRDefault="00C24A81" w:rsidP="00C24A81">
      <w:pPr>
        <w:rPr>
          <w:szCs w:val="24"/>
        </w:rPr>
      </w:pPr>
    </w:p>
    <w:p w14:paraId="4E03BC66" w14:textId="7E22D0C4" w:rsidR="001C7629" w:rsidRPr="00C24A81" w:rsidRDefault="001C7629" w:rsidP="00C24A81">
      <w:pPr>
        <w:numPr>
          <w:ilvl w:val="0"/>
          <w:numId w:val="18"/>
        </w:numPr>
        <w:ind w:left="426" w:hanging="426"/>
        <w:jc w:val="both"/>
        <w:rPr>
          <w:szCs w:val="24"/>
        </w:rPr>
      </w:pPr>
      <w:r w:rsidRPr="004D5445">
        <w:t>Appendix 5 sets out the change in the market value of the Fund’s investments from 31</w:t>
      </w:r>
      <w:r w:rsidRPr="00C24A81">
        <w:rPr>
          <w:vertAlign w:val="superscript"/>
        </w:rPr>
        <w:t>st</w:t>
      </w:r>
      <w:r w:rsidRPr="004D5445">
        <w:t xml:space="preserve"> March 202</w:t>
      </w:r>
      <w:r w:rsidR="001A63E1">
        <w:t>1</w:t>
      </w:r>
      <w:r w:rsidRPr="004D5445">
        <w:t xml:space="preserve"> to 3</w:t>
      </w:r>
      <w:r w:rsidR="001A63E1">
        <w:t>0</w:t>
      </w:r>
      <w:r w:rsidR="001A63E1" w:rsidRPr="00C24A81">
        <w:rPr>
          <w:vertAlign w:val="superscript"/>
        </w:rPr>
        <w:t>th</w:t>
      </w:r>
      <w:r w:rsidR="001A63E1">
        <w:t xml:space="preserve"> </w:t>
      </w:r>
      <w:r w:rsidR="00201A56">
        <w:t>September</w:t>
      </w:r>
      <w:r w:rsidR="00E53623">
        <w:t xml:space="preserve"> 2021</w:t>
      </w:r>
      <w:r w:rsidRPr="004D5445">
        <w:t xml:space="preserve">.  The table has been ordered to align the various investments with the three high-level “bucket” groupings approved under the </w:t>
      </w:r>
      <w:r w:rsidR="00D24092">
        <w:t>I</w:t>
      </w:r>
      <w:r w:rsidRPr="004D5445">
        <w:t>nvestment Strategy Review – Equities, Diversifying Return Assets and Risk Control Assets. The value of the Fund at the 3</w:t>
      </w:r>
      <w:r w:rsidR="001A63E1">
        <w:t>0</w:t>
      </w:r>
      <w:r w:rsidR="001A63E1" w:rsidRPr="00C24A81">
        <w:rPr>
          <w:vertAlign w:val="superscript"/>
        </w:rPr>
        <w:t>th</w:t>
      </w:r>
      <w:r w:rsidR="001A63E1">
        <w:t xml:space="preserve"> </w:t>
      </w:r>
      <w:r w:rsidR="00AC5593">
        <w:t>September</w:t>
      </w:r>
      <w:r w:rsidR="00E53623">
        <w:t xml:space="preserve"> 2021</w:t>
      </w:r>
      <w:r w:rsidRPr="004D5445">
        <w:t xml:space="preserve"> had increased </w:t>
      </w:r>
      <w:r w:rsidR="00201A56">
        <w:t xml:space="preserve">marginally </w:t>
      </w:r>
      <w:r w:rsidRPr="004D5445">
        <w:t xml:space="preserve">over the quarter to </w:t>
      </w:r>
      <w:r w:rsidRPr="00DC5D82">
        <w:t>£</w:t>
      </w:r>
      <w:r w:rsidR="00DC5D82" w:rsidRPr="00DC5D82">
        <w:t>1,</w:t>
      </w:r>
      <w:r w:rsidR="00201A56">
        <w:t>019.9</w:t>
      </w:r>
      <w:r w:rsidR="00E53623" w:rsidRPr="00DC5D82">
        <w:t>m</w:t>
      </w:r>
      <w:r w:rsidRPr="00DC5D82">
        <w:t xml:space="preserve"> (from £</w:t>
      </w:r>
      <w:r w:rsidR="00201A56">
        <w:t>1,015.4</w:t>
      </w:r>
      <w:r w:rsidRPr="00DC5D82">
        <w:t>m as at 3</w:t>
      </w:r>
      <w:r w:rsidR="00201A56">
        <w:t>0</w:t>
      </w:r>
      <w:r w:rsidR="00201A56" w:rsidRPr="00C24A81">
        <w:rPr>
          <w:vertAlign w:val="superscript"/>
        </w:rPr>
        <w:t>th</w:t>
      </w:r>
      <w:r w:rsidR="00201A56">
        <w:t xml:space="preserve"> June</w:t>
      </w:r>
      <w:r w:rsidR="00DC5D82" w:rsidRPr="00DC5D82">
        <w:t xml:space="preserve"> 2021</w:t>
      </w:r>
      <w:r w:rsidRPr="00DC5D82">
        <w:t>).</w:t>
      </w:r>
      <w:r w:rsidR="00DC5D82">
        <w:t xml:space="preserve"> </w:t>
      </w:r>
      <w:r w:rsidRPr="00C24A81">
        <w:rPr>
          <w:highlight w:val="yellow"/>
        </w:rPr>
        <w:t xml:space="preserve"> </w:t>
      </w:r>
    </w:p>
    <w:p w14:paraId="3B0E6CD7" w14:textId="77777777" w:rsidR="00C24A81" w:rsidRPr="00C24A81" w:rsidRDefault="00C24A81" w:rsidP="00C24A81">
      <w:pPr>
        <w:ind w:left="426"/>
        <w:jc w:val="both"/>
        <w:rPr>
          <w:szCs w:val="24"/>
        </w:rPr>
      </w:pPr>
    </w:p>
    <w:p w14:paraId="3EF4324C" w14:textId="77777777" w:rsidR="00C24A81" w:rsidRPr="005D0D93" w:rsidRDefault="00C24A81" w:rsidP="00C24A81">
      <w:pPr>
        <w:ind w:left="426"/>
        <w:jc w:val="both"/>
        <w:rPr>
          <w:b/>
          <w:bCs/>
        </w:rPr>
      </w:pPr>
      <w:r w:rsidRPr="005D0D93">
        <w:rPr>
          <w:b/>
          <w:bCs/>
        </w:rPr>
        <w:t xml:space="preserve">Progress Since the </w:t>
      </w:r>
      <w:r>
        <w:rPr>
          <w:b/>
          <w:bCs/>
        </w:rPr>
        <w:t>13 September m</w:t>
      </w:r>
      <w:r w:rsidRPr="005D0D93">
        <w:rPr>
          <w:b/>
          <w:bCs/>
        </w:rPr>
        <w:t>eeting</w:t>
      </w:r>
    </w:p>
    <w:p w14:paraId="37EDF59C" w14:textId="77777777" w:rsidR="00C24A81" w:rsidRPr="00C24A81" w:rsidRDefault="00C24A81" w:rsidP="00C24A81">
      <w:pPr>
        <w:rPr>
          <w:szCs w:val="24"/>
        </w:rPr>
      </w:pPr>
    </w:p>
    <w:p w14:paraId="6D362273" w14:textId="70C9107E" w:rsidR="00960AE2" w:rsidRPr="00C24A81" w:rsidRDefault="001C7629" w:rsidP="00C24A81">
      <w:pPr>
        <w:numPr>
          <w:ilvl w:val="0"/>
          <w:numId w:val="18"/>
        </w:numPr>
        <w:ind w:left="426" w:hanging="426"/>
        <w:jc w:val="both"/>
        <w:rPr>
          <w:szCs w:val="24"/>
        </w:rPr>
      </w:pPr>
      <w:r w:rsidRPr="004D5445">
        <w:t xml:space="preserve">During </w:t>
      </w:r>
      <w:r w:rsidR="00061BEF">
        <w:t>September and October</w:t>
      </w:r>
      <w:r w:rsidR="0082172F">
        <w:t xml:space="preserve"> 2021, </w:t>
      </w:r>
      <w:r w:rsidR="00D03EA3">
        <w:t>a further £</w:t>
      </w:r>
      <w:r w:rsidR="00061BEF">
        <w:t>5.7</w:t>
      </w:r>
      <w:r w:rsidR="00D03EA3">
        <w:t>m w</w:t>
      </w:r>
      <w:r w:rsidRPr="004D5445">
        <w:t>as invested in the London CIV Infrastructure Fund</w:t>
      </w:r>
      <w:r w:rsidR="00061BEF">
        <w:t xml:space="preserve">, and £8.5m in the LCIV Renewables Infrastructure Fund. Progress with both Funds continues to be </w:t>
      </w:r>
      <w:r w:rsidRPr="004D5445">
        <w:t xml:space="preserve">in line with the </w:t>
      </w:r>
      <w:r>
        <w:t>expected</w:t>
      </w:r>
      <w:r w:rsidRPr="004D5445">
        <w:t xml:space="preserve"> drawdown of </w:t>
      </w:r>
      <w:r w:rsidR="00061BEF">
        <w:t xml:space="preserve">each of </w:t>
      </w:r>
      <w:r w:rsidRPr="004D5445">
        <w:t xml:space="preserve">the Fund’s commitments. </w:t>
      </w:r>
      <w:r w:rsidR="00061BEF">
        <w:t xml:space="preserve">These drawdowns were funded partly from cash held, and partly through withdrawals from the Insight Diversified Growth Fund as previously agreed by the Committee. </w:t>
      </w:r>
    </w:p>
    <w:p w14:paraId="6C8AA0D1" w14:textId="77777777" w:rsidR="00C24A81" w:rsidRPr="00C24A81" w:rsidRDefault="00C24A81" w:rsidP="00C24A81">
      <w:pPr>
        <w:ind w:left="426"/>
        <w:jc w:val="both"/>
        <w:rPr>
          <w:szCs w:val="24"/>
        </w:rPr>
      </w:pPr>
    </w:p>
    <w:p w14:paraId="3234D51E" w14:textId="7F45D740" w:rsidR="001C7629" w:rsidRPr="00C24A81" w:rsidRDefault="00061BEF" w:rsidP="00C24A81">
      <w:pPr>
        <w:numPr>
          <w:ilvl w:val="0"/>
          <w:numId w:val="18"/>
        </w:numPr>
        <w:ind w:left="426" w:hanging="426"/>
        <w:jc w:val="both"/>
        <w:rPr>
          <w:szCs w:val="24"/>
        </w:rPr>
      </w:pPr>
      <w:r>
        <w:t xml:space="preserve">As reported orally at the last meeting, the realignment of the Fund’s passive equity portfolio with Blackrock (the transfer of assets </w:t>
      </w:r>
      <w:r w:rsidR="00DC5D82" w:rsidRPr="005D0D93">
        <w:t>into the Blackrock Low Carbon Fund</w:t>
      </w:r>
      <w:r>
        <w:t xml:space="preserve">) was completed in early September 2021. The </w:t>
      </w:r>
      <w:r w:rsidR="004F6C28">
        <w:t xml:space="preserve">realignment of the </w:t>
      </w:r>
      <w:r w:rsidR="00DC5D82" w:rsidRPr="005D0D93">
        <w:t xml:space="preserve">gilts portfolios </w:t>
      </w:r>
      <w:r w:rsidR="004F6C28">
        <w:t>with Blackrock was</w:t>
      </w:r>
      <w:r w:rsidR="00DC5D82" w:rsidRPr="005D0D93">
        <w:t xml:space="preserve"> </w:t>
      </w:r>
      <w:r w:rsidR="004F6C28">
        <w:t xml:space="preserve">also </w:t>
      </w:r>
      <w:r w:rsidR="00DC5D82" w:rsidRPr="005D0D93">
        <w:t>completed in September 2021</w:t>
      </w:r>
      <w:r w:rsidR="004F6C28">
        <w:t>, and the final tranche of the realignment of corporate bonds – moving £30m to the LCIV Global Bond Fund, was completed in early October 2021.</w:t>
      </w:r>
      <w:r w:rsidR="0082172F" w:rsidRPr="005D0D93">
        <w:t xml:space="preserve"> </w:t>
      </w:r>
    </w:p>
    <w:p w14:paraId="30B8BBA2" w14:textId="77777777" w:rsidR="00C24A81" w:rsidRDefault="00C24A81" w:rsidP="00C24A81">
      <w:pPr>
        <w:pStyle w:val="ListParagraph"/>
        <w:rPr>
          <w:szCs w:val="24"/>
        </w:rPr>
      </w:pPr>
    </w:p>
    <w:p w14:paraId="4A0ACA0B" w14:textId="0A029889" w:rsidR="00F23DA0" w:rsidRPr="00C24A81" w:rsidRDefault="005D0D93" w:rsidP="00F23DA0">
      <w:pPr>
        <w:numPr>
          <w:ilvl w:val="0"/>
          <w:numId w:val="18"/>
        </w:numPr>
        <w:ind w:left="426" w:hanging="426"/>
        <w:jc w:val="both"/>
      </w:pPr>
      <w:r>
        <w:t xml:space="preserve">LCIV MAC Fund – </w:t>
      </w:r>
      <w:r w:rsidR="004F6C28">
        <w:t xml:space="preserve">since the last meeting, LCIV has confirmed that progress with the launch of the </w:t>
      </w:r>
      <w:r w:rsidR="00F23DA0">
        <w:t xml:space="preserve">“single manager” </w:t>
      </w:r>
      <w:r>
        <w:t xml:space="preserve">LCIV Alternative Credit Fund </w:t>
      </w:r>
      <w:r w:rsidR="004F6C28">
        <w:t>is on track and it is hoping to complete this by the end of 2021.</w:t>
      </w:r>
      <w:r w:rsidR="00F23DA0">
        <w:t xml:space="preserve"> LCIV has </w:t>
      </w:r>
      <w:r w:rsidR="004F6C28">
        <w:t xml:space="preserve">reiterated its previous commitment </w:t>
      </w:r>
      <w:r w:rsidR="00F23DA0">
        <w:t>that the “blended</w:t>
      </w:r>
      <w:r w:rsidR="004F6C28">
        <w:t>” (two managers)</w:t>
      </w:r>
      <w:r w:rsidR="00F23DA0">
        <w:t xml:space="preserve"> approach</w:t>
      </w:r>
      <w:r w:rsidR="004F6C28">
        <w:t xml:space="preserve"> </w:t>
      </w:r>
      <w:r w:rsidR="00F23DA0">
        <w:t xml:space="preserve">to the </w:t>
      </w:r>
      <w:r w:rsidR="004F6C28">
        <w:t xml:space="preserve">LCIV </w:t>
      </w:r>
      <w:r w:rsidR="00F23DA0">
        <w:t>MAC fund will not be implemented until the Alternative Credit Fund is operational, and that t</w:t>
      </w:r>
      <w:r w:rsidR="001C7067">
        <w:t>h</w:t>
      </w:r>
      <w:r w:rsidR="00F23DA0">
        <w:t>e transition will be “in specie” at zero cost.</w:t>
      </w:r>
      <w:r>
        <w:t xml:space="preserve"> </w:t>
      </w:r>
    </w:p>
    <w:p w14:paraId="14D5766C" w14:textId="77777777" w:rsidR="00C24A81" w:rsidRDefault="00C24A81" w:rsidP="00C24A81">
      <w:pPr>
        <w:pStyle w:val="ListParagraph"/>
      </w:pPr>
    </w:p>
    <w:p w14:paraId="3D687660" w14:textId="57C18052" w:rsidR="00C24A81" w:rsidRPr="00286484" w:rsidRDefault="00F23DA0" w:rsidP="00C24A81">
      <w:pPr>
        <w:numPr>
          <w:ilvl w:val="0"/>
          <w:numId w:val="18"/>
        </w:numPr>
        <w:ind w:left="426" w:hanging="426"/>
        <w:jc w:val="both"/>
      </w:pPr>
      <w:r w:rsidRPr="00286484">
        <w:t xml:space="preserve">LaSalle Property Fund – </w:t>
      </w:r>
      <w:r w:rsidR="004F6C28" w:rsidRPr="00286484">
        <w:t xml:space="preserve">discussions are continuing, but </w:t>
      </w:r>
      <w:r w:rsidRPr="00286484">
        <w:t>there have been no developments to report since the last meeting. Should th</w:t>
      </w:r>
      <w:r w:rsidR="004F6C28" w:rsidRPr="00286484">
        <w:t>is</w:t>
      </w:r>
      <w:r w:rsidRPr="00286484">
        <w:t xml:space="preserve"> position change Aon will update the Committee at the meeting. </w:t>
      </w:r>
    </w:p>
    <w:p w14:paraId="74BD3CEE" w14:textId="77777777" w:rsidR="00286484" w:rsidRPr="00286484" w:rsidRDefault="00286484" w:rsidP="00286484">
      <w:pPr>
        <w:pStyle w:val="ListParagraph"/>
      </w:pPr>
    </w:p>
    <w:p w14:paraId="3564BD41" w14:textId="24B56B5D" w:rsidR="00286484" w:rsidRPr="00286484" w:rsidRDefault="00286484" w:rsidP="00C24A81">
      <w:pPr>
        <w:numPr>
          <w:ilvl w:val="0"/>
          <w:numId w:val="18"/>
        </w:numPr>
        <w:ind w:left="426" w:hanging="426"/>
        <w:jc w:val="both"/>
      </w:pPr>
      <w:r>
        <w:t>The Fund’s investments increased in value in October – the valuation at 31</w:t>
      </w:r>
      <w:r w:rsidRPr="00286484">
        <w:rPr>
          <w:vertAlign w:val="superscript"/>
        </w:rPr>
        <w:t>st</w:t>
      </w:r>
      <w:r>
        <w:t xml:space="preserve"> October 2021 was £1,038.2m. Details are shown in Appendix 5. The changes in paragraphs 14 and 15 have increased the proportion of assets currently invested and regarded as pooled to 68.5%.</w:t>
      </w:r>
    </w:p>
    <w:p w14:paraId="6828618F" w14:textId="77777777" w:rsidR="00C24A81" w:rsidRPr="00286484" w:rsidRDefault="00C24A81">
      <w:r w:rsidRPr="00286484">
        <w:br w:type="page"/>
      </w:r>
    </w:p>
    <w:p w14:paraId="3A506695" w14:textId="0E9BDAEF" w:rsidR="00C24A81" w:rsidRPr="00C24A81" w:rsidRDefault="00C24A81" w:rsidP="00C24A81">
      <w:pPr>
        <w:ind w:left="426"/>
        <w:jc w:val="both"/>
      </w:pPr>
      <w:r w:rsidRPr="00C24A81">
        <w:rPr>
          <w:b/>
          <w:bCs/>
        </w:rPr>
        <w:lastRenderedPageBreak/>
        <w:t xml:space="preserve">Manager </w:t>
      </w:r>
      <w:r w:rsidR="00E54E13">
        <w:rPr>
          <w:b/>
          <w:bCs/>
        </w:rPr>
        <w:t>Day</w:t>
      </w:r>
      <w:r w:rsidRPr="00C24A81">
        <w:rPr>
          <w:b/>
          <w:bCs/>
        </w:rPr>
        <w:t xml:space="preserve"> 3 November 2021</w:t>
      </w:r>
    </w:p>
    <w:p w14:paraId="0E1E4E38" w14:textId="77777777" w:rsidR="00C24A81" w:rsidRDefault="00C24A81" w:rsidP="00C24A81">
      <w:pPr>
        <w:pStyle w:val="ListParagraph"/>
      </w:pPr>
    </w:p>
    <w:p w14:paraId="3C771536" w14:textId="56FEB9AA" w:rsidR="00E54E13" w:rsidRDefault="00E54E13" w:rsidP="00C24A81">
      <w:pPr>
        <w:numPr>
          <w:ilvl w:val="0"/>
          <w:numId w:val="18"/>
        </w:numPr>
        <w:ind w:left="426" w:hanging="426"/>
        <w:jc w:val="both"/>
      </w:pPr>
      <w:r>
        <w:t>Three managers were asked to present to the Committee,</w:t>
      </w:r>
    </w:p>
    <w:p w14:paraId="05258DB2" w14:textId="5C58E6C2" w:rsidR="00E54E13" w:rsidRPr="00E54E13" w:rsidRDefault="00E54E13" w:rsidP="00E54E13">
      <w:pPr>
        <w:pStyle w:val="ListParagraph"/>
        <w:numPr>
          <w:ilvl w:val="0"/>
          <w:numId w:val="23"/>
        </w:numPr>
        <w:jc w:val="both"/>
        <w:rPr>
          <w:sz w:val="24"/>
          <w:szCs w:val="24"/>
        </w:rPr>
      </w:pPr>
      <w:r w:rsidRPr="00E54E13">
        <w:rPr>
          <w:sz w:val="24"/>
          <w:szCs w:val="24"/>
        </w:rPr>
        <w:t>LCIV Global Equity Focus Fund (Longview)</w:t>
      </w:r>
    </w:p>
    <w:p w14:paraId="17A2112E" w14:textId="5B3DCEB4" w:rsidR="00E54E13" w:rsidRPr="00E54E13" w:rsidRDefault="00E54E13" w:rsidP="00E54E13">
      <w:pPr>
        <w:pStyle w:val="ListParagraph"/>
        <w:numPr>
          <w:ilvl w:val="0"/>
          <w:numId w:val="23"/>
        </w:numPr>
        <w:jc w:val="both"/>
        <w:rPr>
          <w:sz w:val="24"/>
          <w:szCs w:val="24"/>
        </w:rPr>
      </w:pPr>
      <w:r w:rsidRPr="00E54E13">
        <w:rPr>
          <w:sz w:val="24"/>
          <w:szCs w:val="24"/>
        </w:rPr>
        <w:t>Insight (Diversified Growth Fund.</w:t>
      </w:r>
    </w:p>
    <w:p w14:paraId="3789DB1A" w14:textId="5F4890E8" w:rsidR="00E54E13" w:rsidRPr="00E54E13" w:rsidRDefault="00E54E13" w:rsidP="00E54E13">
      <w:pPr>
        <w:pStyle w:val="ListParagraph"/>
        <w:numPr>
          <w:ilvl w:val="0"/>
          <w:numId w:val="23"/>
        </w:numPr>
        <w:jc w:val="both"/>
        <w:rPr>
          <w:sz w:val="24"/>
          <w:szCs w:val="24"/>
        </w:rPr>
      </w:pPr>
      <w:r w:rsidRPr="00E54E13">
        <w:rPr>
          <w:sz w:val="24"/>
          <w:szCs w:val="24"/>
        </w:rPr>
        <w:t>GMO (Emerging Market Equities)</w:t>
      </w:r>
    </w:p>
    <w:p w14:paraId="4079B9B1" w14:textId="77777777" w:rsidR="00E54E13" w:rsidRDefault="00E54E13" w:rsidP="00E54E13">
      <w:pPr>
        <w:ind w:left="426"/>
        <w:jc w:val="both"/>
      </w:pPr>
    </w:p>
    <w:p w14:paraId="3C5B0411" w14:textId="15BE46DD" w:rsidR="00E54E13" w:rsidRDefault="00E54E13" w:rsidP="00C24A81">
      <w:pPr>
        <w:numPr>
          <w:ilvl w:val="0"/>
          <w:numId w:val="18"/>
        </w:numPr>
        <w:ind w:left="426" w:hanging="426"/>
        <w:jc w:val="both"/>
      </w:pPr>
      <w:r>
        <w:t>The three managers presented on their respective funds, covering performance, their Investment “process” and approach to ESG matters in particular. The Committee and its advisers asked each manager a number of detailed questions.</w:t>
      </w:r>
    </w:p>
    <w:p w14:paraId="3FB138B8" w14:textId="77777777" w:rsidR="00E54E13" w:rsidRDefault="00E54E13" w:rsidP="00E54E13">
      <w:pPr>
        <w:ind w:left="426"/>
        <w:jc w:val="both"/>
      </w:pPr>
    </w:p>
    <w:p w14:paraId="3917C935" w14:textId="2A4F1FD5" w:rsidR="00E54E13" w:rsidRDefault="00E54E13" w:rsidP="00E54E13">
      <w:pPr>
        <w:numPr>
          <w:ilvl w:val="0"/>
          <w:numId w:val="18"/>
        </w:numPr>
        <w:ind w:left="426" w:hanging="426"/>
        <w:jc w:val="both"/>
      </w:pPr>
      <w:r>
        <w:t>A number of matters require further consideration, and these are addressed in Part 2 of this agenda. The London CIV will be questioned further regarding the Global Equity Focus Fund, and Aon have carried out some further analysis in respect of emerging market equities.</w:t>
      </w:r>
    </w:p>
    <w:p w14:paraId="51F51984" w14:textId="77777777" w:rsidR="00E54E13" w:rsidRPr="00C24A81" w:rsidRDefault="00E54E13" w:rsidP="00E54E13">
      <w:pPr>
        <w:jc w:val="both"/>
        <w:rPr>
          <w:b/>
          <w:bCs/>
        </w:rPr>
      </w:pPr>
    </w:p>
    <w:p w14:paraId="42E0BBD0" w14:textId="77777777" w:rsidR="00E54E13" w:rsidRPr="00E54E13" w:rsidRDefault="00E54E13" w:rsidP="00E54E13">
      <w:pPr>
        <w:jc w:val="both"/>
      </w:pPr>
      <w:r w:rsidRPr="00E54E13">
        <w:rPr>
          <w:b/>
        </w:rPr>
        <w:t xml:space="preserve">E   Meetings of Pension Board </w:t>
      </w:r>
    </w:p>
    <w:p w14:paraId="4F9945A7" w14:textId="77777777" w:rsidR="00E54E13" w:rsidRDefault="00E54E13" w:rsidP="00E54E13"/>
    <w:p w14:paraId="248DE0F4" w14:textId="5FD58474" w:rsidR="00EA3534" w:rsidRPr="00E54E13" w:rsidRDefault="00E54E13" w:rsidP="00E54E13">
      <w:pPr>
        <w:numPr>
          <w:ilvl w:val="0"/>
          <w:numId w:val="18"/>
        </w:numPr>
        <w:ind w:left="426" w:hanging="426"/>
        <w:jc w:val="both"/>
      </w:pPr>
      <w:r>
        <w:t xml:space="preserve"> </w:t>
      </w:r>
      <w:r w:rsidR="00EA3534" w:rsidRPr="00E54E13">
        <w:rPr>
          <w:rFonts w:cs="Arial"/>
          <w:color w:val="000000"/>
          <w:szCs w:val="24"/>
          <w:lang w:eastAsia="en-GB"/>
        </w:rPr>
        <w:t xml:space="preserve">At its most recent meeting on </w:t>
      </w:r>
      <w:r w:rsidR="004F6C28" w:rsidRPr="00E54E13">
        <w:rPr>
          <w:rFonts w:cs="Arial"/>
          <w:color w:val="000000"/>
          <w:szCs w:val="24"/>
          <w:lang w:eastAsia="en-GB"/>
        </w:rPr>
        <w:t>6</w:t>
      </w:r>
      <w:r w:rsidR="00EA3534" w:rsidRPr="00E54E13">
        <w:rPr>
          <w:rFonts w:cs="Arial"/>
          <w:color w:val="000000"/>
          <w:szCs w:val="24"/>
          <w:vertAlign w:val="superscript"/>
          <w:lang w:eastAsia="en-GB"/>
        </w:rPr>
        <w:t>th</w:t>
      </w:r>
      <w:r w:rsidR="004F6C28" w:rsidRPr="00E54E13">
        <w:rPr>
          <w:rFonts w:cs="Arial"/>
          <w:color w:val="000000"/>
          <w:szCs w:val="24"/>
          <w:vertAlign w:val="superscript"/>
          <w:lang w:eastAsia="en-GB"/>
        </w:rPr>
        <w:t xml:space="preserve"> </w:t>
      </w:r>
      <w:r w:rsidR="004F6C28" w:rsidRPr="00E54E13">
        <w:rPr>
          <w:rFonts w:cs="Arial"/>
          <w:color w:val="000000"/>
          <w:szCs w:val="24"/>
          <w:lang w:eastAsia="en-GB"/>
        </w:rPr>
        <w:t>October</w:t>
      </w:r>
      <w:r w:rsidR="00EA3534" w:rsidRPr="00E54E13">
        <w:rPr>
          <w:rFonts w:cs="Arial"/>
          <w:color w:val="000000"/>
          <w:szCs w:val="24"/>
          <w:lang w:eastAsia="en-GB"/>
        </w:rPr>
        <w:t xml:space="preserve"> 2021, the Pension Board </w:t>
      </w:r>
    </w:p>
    <w:p w14:paraId="04017FA1" w14:textId="15C0590F" w:rsidR="00E54E13" w:rsidRDefault="00E54E13" w:rsidP="00E54E13">
      <w:pPr>
        <w:pStyle w:val="ListParagraph"/>
        <w:numPr>
          <w:ilvl w:val="0"/>
          <w:numId w:val="24"/>
        </w:numPr>
        <w:autoSpaceDE w:val="0"/>
        <w:autoSpaceDN w:val="0"/>
        <w:adjustRightInd w:val="0"/>
        <w:jc w:val="both"/>
        <w:rPr>
          <w:sz w:val="24"/>
          <w:szCs w:val="24"/>
        </w:rPr>
      </w:pPr>
      <w:r w:rsidRPr="00E54E13">
        <w:rPr>
          <w:sz w:val="24"/>
          <w:szCs w:val="24"/>
        </w:rPr>
        <w:t>Considered a report on the Pensions Administration performance, including updates on McCloud and noted</w:t>
      </w:r>
      <w:r w:rsidR="000A0114">
        <w:rPr>
          <w:sz w:val="24"/>
          <w:szCs w:val="24"/>
        </w:rPr>
        <w:t xml:space="preserve"> that </w:t>
      </w:r>
      <w:r w:rsidRPr="00E54E13">
        <w:rPr>
          <w:sz w:val="24"/>
          <w:szCs w:val="24"/>
        </w:rPr>
        <w:t>recruitment to vacancies had been completed successfully.</w:t>
      </w:r>
    </w:p>
    <w:p w14:paraId="6EAB4CD0" w14:textId="429E1E4C" w:rsidR="00282DAB" w:rsidRPr="00282DAB" w:rsidRDefault="00282DAB" w:rsidP="00282DAB">
      <w:pPr>
        <w:pStyle w:val="ListParagraph"/>
        <w:numPr>
          <w:ilvl w:val="0"/>
          <w:numId w:val="24"/>
        </w:numPr>
        <w:autoSpaceDE w:val="0"/>
        <w:autoSpaceDN w:val="0"/>
        <w:adjustRightInd w:val="0"/>
        <w:jc w:val="both"/>
        <w:rPr>
          <w:sz w:val="24"/>
          <w:szCs w:val="24"/>
        </w:rPr>
      </w:pPr>
      <w:r>
        <w:rPr>
          <w:sz w:val="24"/>
          <w:szCs w:val="24"/>
        </w:rPr>
        <w:t>Endorsed the Committee’s proposed approach for review and approval of Fund Policies to meet the requirements of the Good Governance review</w:t>
      </w:r>
    </w:p>
    <w:p w14:paraId="000AFCFE" w14:textId="1D611F8E" w:rsidR="00E54E13" w:rsidRPr="00282DAB" w:rsidRDefault="00E54E13" w:rsidP="00E54E13">
      <w:pPr>
        <w:pStyle w:val="ListParagraph"/>
        <w:numPr>
          <w:ilvl w:val="0"/>
          <w:numId w:val="24"/>
        </w:numPr>
        <w:autoSpaceDE w:val="0"/>
        <w:autoSpaceDN w:val="0"/>
        <w:adjustRightInd w:val="0"/>
        <w:jc w:val="both"/>
        <w:rPr>
          <w:sz w:val="24"/>
          <w:szCs w:val="24"/>
        </w:rPr>
      </w:pPr>
      <w:r w:rsidRPr="00E54E13">
        <w:rPr>
          <w:sz w:val="24"/>
          <w:szCs w:val="24"/>
        </w:rPr>
        <w:t>Noted reports on the draft Pension Fund Annual Report for 2020-21</w:t>
      </w:r>
      <w:r w:rsidR="00282DAB">
        <w:rPr>
          <w:sz w:val="24"/>
          <w:szCs w:val="24"/>
        </w:rPr>
        <w:t xml:space="preserve"> </w:t>
      </w:r>
      <w:r w:rsidR="00282DAB" w:rsidRPr="00282DAB">
        <w:rPr>
          <w:sz w:val="24"/>
          <w:szCs w:val="24"/>
        </w:rPr>
        <w:t>and Investment Pooling,</w:t>
      </w:r>
    </w:p>
    <w:p w14:paraId="40984376" w14:textId="431E6474" w:rsidR="00E54E13" w:rsidRPr="00282DAB" w:rsidRDefault="00E54E13" w:rsidP="00E54E13">
      <w:pPr>
        <w:pStyle w:val="ListParagraph"/>
        <w:numPr>
          <w:ilvl w:val="0"/>
          <w:numId w:val="24"/>
        </w:numPr>
        <w:autoSpaceDE w:val="0"/>
        <w:autoSpaceDN w:val="0"/>
        <w:adjustRightInd w:val="0"/>
        <w:jc w:val="both"/>
        <w:rPr>
          <w:sz w:val="24"/>
          <w:szCs w:val="24"/>
        </w:rPr>
      </w:pPr>
      <w:r w:rsidRPr="00282DAB">
        <w:rPr>
          <w:sz w:val="24"/>
          <w:szCs w:val="24"/>
        </w:rPr>
        <w:t xml:space="preserve">And agreed a work programme for </w:t>
      </w:r>
      <w:r w:rsidR="00282DAB">
        <w:rPr>
          <w:sz w:val="24"/>
          <w:szCs w:val="24"/>
        </w:rPr>
        <w:t xml:space="preserve">the remainder of </w:t>
      </w:r>
      <w:r w:rsidRPr="00282DAB">
        <w:rPr>
          <w:sz w:val="24"/>
          <w:szCs w:val="24"/>
        </w:rPr>
        <w:t>2021-22.</w:t>
      </w:r>
    </w:p>
    <w:p w14:paraId="1D4748B5" w14:textId="77777777" w:rsidR="00E54E13" w:rsidRPr="00E54E13" w:rsidRDefault="00E54E13" w:rsidP="00E54E13">
      <w:pPr>
        <w:ind w:left="426"/>
        <w:jc w:val="both"/>
      </w:pPr>
    </w:p>
    <w:p w14:paraId="5477A762" w14:textId="20C30E4E" w:rsidR="001C7629" w:rsidRPr="00E54E13" w:rsidRDefault="004F6C28" w:rsidP="00E54E13">
      <w:pPr>
        <w:numPr>
          <w:ilvl w:val="0"/>
          <w:numId w:val="18"/>
        </w:numPr>
        <w:ind w:left="426" w:hanging="426"/>
        <w:jc w:val="both"/>
      </w:pPr>
      <w:r w:rsidRPr="00E54E13">
        <w:rPr>
          <w:rFonts w:cs="Arial"/>
          <w:color w:val="000000"/>
          <w:szCs w:val="24"/>
          <w:lang w:eastAsia="en-GB"/>
        </w:rPr>
        <w:t xml:space="preserve">The appointment of Dr Simon Radford, a governor of Stanmore College, as  the </w:t>
      </w:r>
      <w:r w:rsidR="00EA3534" w:rsidRPr="00E54E13">
        <w:rPr>
          <w:rFonts w:cs="Arial"/>
          <w:color w:val="000000"/>
          <w:szCs w:val="24"/>
          <w:lang w:eastAsia="en-GB"/>
        </w:rPr>
        <w:t>Employer Representative (Admitted and Scheduled Bodies)</w:t>
      </w:r>
      <w:r w:rsidRPr="00E54E13">
        <w:rPr>
          <w:rFonts w:cs="Arial"/>
          <w:color w:val="000000"/>
          <w:szCs w:val="24"/>
          <w:lang w:eastAsia="en-GB"/>
        </w:rPr>
        <w:t xml:space="preserve"> was approved by the</w:t>
      </w:r>
      <w:r w:rsidR="00EA3534" w:rsidRPr="00E54E13">
        <w:rPr>
          <w:rFonts w:cs="Arial"/>
          <w:color w:val="000000"/>
          <w:szCs w:val="24"/>
          <w:lang w:eastAsia="en-GB"/>
        </w:rPr>
        <w:t xml:space="preserve"> Council on 30</w:t>
      </w:r>
      <w:r w:rsidR="00EA3534" w:rsidRPr="00E54E13">
        <w:rPr>
          <w:rFonts w:cs="Arial"/>
          <w:color w:val="000000"/>
          <w:szCs w:val="24"/>
          <w:vertAlign w:val="superscript"/>
          <w:lang w:eastAsia="en-GB"/>
        </w:rPr>
        <w:t>th</w:t>
      </w:r>
      <w:r w:rsidR="00EA3534" w:rsidRPr="00E54E13">
        <w:rPr>
          <w:rFonts w:cs="Arial"/>
          <w:color w:val="000000"/>
          <w:szCs w:val="24"/>
          <w:lang w:eastAsia="en-GB"/>
        </w:rPr>
        <w:t xml:space="preserve"> September 2021.</w:t>
      </w:r>
      <w:r w:rsidR="007B6C97" w:rsidRPr="00E54E13">
        <w:rPr>
          <w:rFonts w:cs="Arial"/>
          <w:color w:val="000000"/>
          <w:szCs w:val="24"/>
          <w:lang w:eastAsia="en-GB"/>
        </w:rPr>
        <w:t xml:space="preserve"> </w:t>
      </w:r>
    </w:p>
    <w:p w14:paraId="76088E1D" w14:textId="77777777" w:rsidR="00E54E13" w:rsidRPr="00E54E13" w:rsidRDefault="00E54E13" w:rsidP="00E54E13">
      <w:pPr>
        <w:ind w:left="426"/>
        <w:jc w:val="both"/>
      </w:pPr>
    </w:p>
    <w:p w14:paraId="15A53E27" w14:textId="50E4DF33" w:rsidR="00E54E13" w:rsidRDefault="001C7629" w:rsidP="00E54E13">
      <w:pPr>
        <w:numPr>
          <w:ilvl w:val="0"/>
          <w:numId w:val="18"/>
        </w:numPr>
        <w:ind w:left="426" w:hanging="426"/>
        <w:jc w:val="both"/>
      </w:pPr>
      <w:r w:rsidRPr="00E54E13">
        <w:rPr>
          <w:rFonts w:cs="Arial"/>
          <w:color w:val="000000"/>
          <w:szCs w:val="24"/>
          <w:lang w:eastAsia="en-GB"/>
        </w:rPr>
        <w:t xml:space="preserve">The Board’s next meeting </w:t>
      </w:r>
      <w:r w:rsidR="007B6C97" w:rsidRPr="00E54E13">
        <w:rPr>
          <w:rFonts w:cs="Arial"/>
          <w:color w:val="000000"/>
          <w:szCs w:val="24"/>
          <w:lang w:eastAsia="en-GB"/>
        </w:rPr>
        <w:t xml:space="preserve">was </w:t>
      </w:r>
      <w:r w:rsidR="00EA3534" w:rsidRPr="00E54E13">
        <w:rPr>
          <w:rFonts w:cs="Arial"/>
          <w:color w:val="000000"/>
          <w:szCs w:val="24"/>
          <w:lang w:eastAsia="en-GB"/>
        </w:rPr>
        <w:t xml:space="preserve">originally </w:t>
      </w:r>
      <w:r w:rsidR="007B6C97" w:rsidRPr="00E54E13">
        <w:rPr>
          <w:rFonts w:cs="Arial"/>
          <w:color w:val="000000"/>
          <w:szCs w:val="24"/>
          <w:lang w:eastAsia="en-GB"/>
        </w:rPr>
        <w:t xml:space="preserve">scheduled for </w:t>
      </w:r>
      <w:r w:rsidR="004F6C28" w:rsidRPr="00E54E13">
        <w:rPr>
          <w:rFonts w:cs="Arial"/>
          <w:color w:val="000000"/>
          <w:szCs w:val="24"/>
          <w:lang w:eastAsia="en-GB"/>
        </w:rPr>
        <w:t>1</w:t>
      </w:r>
      <w:r w:rsidR="004F6C28" w:rsidRPr="00E54E13">
        <w:rPr>
          <w:rFonts w:cs="Arial"/>
          <w:color w:val="000000"/>
          <w:szCs w:val="24"/>
          <w:vertAlign w:val="superscript"/>
          <w:lang w:eastAsia="en-GB"/>
        </w:rPr>
        <w:t>st</w:t>
      </w:r>
      <w:r w:rsidR="00C24A81" w:rsidRPr="00E54E13">
        <w:rPr>
          <w:rFonts w:cs="Arial"/>
          <w:color w:val="000000"/>
          <w:szCs w:val="24"/>
          <w:lang w:eastAsia="en-GB"/>
        </w:rPr>
        <w:t xml:space="preserve"> Dec</w:t>
      </w:r>
      <w:r w:rsidR="00EA3534" w:rsidRPr="00E54E13">
        <w:rPr>
          <w:rFonts w:cs="Arial"/>
          <w:color w:val="000000"/>
          <w:szCs w:val="24"/>
          <w:lang w:eastAsia="en-GB"/>
        </w:rPr>
        <w:t>ember</w:t>
      </w:r>
      <w:r w:rsidRPr="00E54E13">
        <w:rPr>
          <w:rFonts w:cs="Arial"/>
          <w:color w:val="000000"/>
          <w:szCs w:val="24"/>
          <w:lang w:eastAsia="en-GB"/>
        </w:rPr>
        <w:t xml:space="preserve"> 2021</w:t>
      </w:r>
      <w:r w:rsidR="007B6C97" w:rsidRPr="00E54E13">
        <w:rPr>
          <w:rFonts w:cs="Arial"/>
          <w:color w:val="000000"/>
          <w:szCs w:val="24"/>
          <w:lang w:eastAsia="en-GB"/>
        </w:rPr>
        <w:t xml:space="preserve">, but this has been moved to </w:t>
      </w:r>
      <w:r w:rsidR="00C24A81" w:rsidRPr="00E54E13">
        <w:rPr>
          <w:rFonts w:cs="Arial"/>
          <w:color w:val="000000"/>
          <w:szCs w:val="24"/>
          <w:lang w:eastAsia="en-GB"/>
        </w:rPr>
        <w:t>1</w:t>
      </w:r>
      <w:r w:rsidR="00EA3534" w:rsidRPr="00E54E13">
        <w:rPr>
          <w:rFonts w:cs="Arial"/>
          <w:color w:val="000000"/>
          <w:szCs w:val="24"/>
          <w:lang w:eastAsia="en-GB"/>
        </w:rPr>
        <w:t>6</w:t>
      </w:r>
      <w:r w:rsidR="00EA3534" w:rsidRPr="00E54E13">
        <w:rPr>
          <w:rFonts w:cs="Arial"/>
          <w:color w:val="000000"/>
          <w:szCs w:val="24"/>
          <w:vertAlign w:val="superscript"/>
          <w:lang w:eastAsia="en-GB"/>
        </w:rPr>
        <w:t>th</w:t>
      </w:r>
      <w:r w:rsidR="00EA3534" w:rsidRPr="00E54E13">
        <w:rPr>
          <w:rFonts w:cs="Arial"/>
          <w:color w:val="000000"/>
          <w:szCs w:val="24"/>
          <w:lang w:eastAsia="en-GB"/>
        </w:rPr>
        <w:t xml:space="preserve"> </w:t>
      </w:r>
      <w:r w:rsidR="00C24A81" w:rsidRPr="00E54E13">
        <w:rPr>
          <w:rFonts w:cs="Arial"/>
          <w:color w:val="000000"/>
          <w:szCs w:val="24"/>
          <w:lang w:eastAsia="en-GB"/>
        </w:rPr>
        <w:t>December</w:t>
      </w:r>
      <w:r w:rsidR="007B6C97" w:rsidRPr="00E54E13">
        <w:rPr>
          <w:rFonts w:cs="Arial"/>
          <w:color w:val="000000"/>
          <w:szCs w:val="24"/>
          <w:lang w:eastAsia="en-GB"/>
        </w:rPr>
        <w:t xml:space="preserve"> 2021 </w:t>
      </w:r>
      <w:r w:rsidR="00C24A81" w:rsidRPr="00E54E13">
        <w:rPr>
          <w:rFonts w:cs="Arial"/>
          <w:color w:val="000000"/>
          <w:szCs w:val="24"/>
          <w:lang w:eastAsia="en-GB"/>
        </w:rPr>
        <w:t xml:space="preserve">at the request of the Chair, to avoid </w:t>
      </w:r>
      <w:r w:rsidR="007B6C97" w:rsidRPr="00E54E13">
        <w:rPr>
          <w:rFonts w:cs="Arial"/>
          <w:color w:val="000000"/>
          <w:szCs w:val="24"/>
          <w:lang w:eastAsia="en-GB"/>
        </w:rPr>
        <w:t xml:space="preserve">clashing with </w:t>
      </w:r>
      <w:r w:rsidR="00C24A81" w:rsidRPr="00E54E13">
        <w:rPr>
          <w:rFonts w:cs="Arial"/>
          <w:color w:val="000000"/>
          <w:szCs w:val="24"/>
          <w:lang w:eastAsia="en-GB"/>
        </w:rPr>
        <w:t>another</w:t>
      </w:r>
      <w:r w:rsidR="00696012" w:rsidRPr="00E54E13">
        <w:rPr>
          <w:rFonts w:cs="Arial"/>
          <w:color w:val="000000"/>
          <w:szCs w:val="24"/>
          <w:lang w:eastAsia="en-GB"/>
        </w:rPr>
        <w:t xml:space="preserve"> </w:t>
      </w:r>
      <w:r w:rsidR="007B6C97" w:rsidRPr="00E54E13">
        <w:rPr>
          <w:rFonts w:cs="Arial"/>
          <w:color w:val="000000"/>
          <w:szCs w:val="24"/>
          <w:lang w:eastAsia="en-GB"/>
        </w:rPr>
        <w:t>meeting.</w:t>
      </w:r>
    </w:p>
    <w:p w14:paraId="0A60CA5B" w14:textId="77777777" w:rsidR="00E54E13" w:rsidRDefault="00E54E13" w:rsidP="00E54E13">
      <w:pPr>
        <w:pStyle w:val="Heading2"/>
      </w:pPr>
      <w:r>
        <w:t>Legal Implications</w:t>
      </w:r>
    </w:p>
    <w:p w14:paraId="5F8B9F07" w14:textId="77777777" w:rsidR="00E54E13" w:rsidRDefault="00E54E13" w:rsidP="00E54E13">
      <w:pPr>
        <w:jc w:val="both"/>
      </w:pPr>
    </w:p>
    <w:p w14:paraId="6A068D4A" w14:textId="669D4BEB" w:rsidR="007B6C97" w:rsidRPr="002025B3" w:rsidRDefault="007B6C97" w:rsidP="002025B3">
      <w:pPr>
        <w:numPr>
          <w:ilvl w:val="0"/>
          <w:numId w:val="18"/>
        </w:numPr>
        <w:ind w:left="426" w:hanging="426"/>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40A4BAC0" w14:textId="77777777" w:rsidR="007B6C97" w:rsidRDefault="007B6C97" w:rsidP="007B6C97">
      <w:pPr>
        <w:pStyle w:val="Heading2"/>
        <w:spacing w:after="240"/>
      </w:pPr>
      <w:r>
        <w:t>Financial Implications</w:t>
      </w:r>
    </w:p>
    <w:p w14:paraId="23F40322" w14:textId="77777777" w:rsidR="007B6C97" w:rsidRPr="007B6C97" w:rsidRDefault="007B6C97" w:rsidP="00E54E13">
      <w:pPr>
        <w:numPr>
          <w:ilvl w:val="0"/>
          <w:numId w:val="18"/>
        </w:numPr>
        <w:autoSpaceDE w:val="0"/>
        <w:autoSpaceDN w:val="0"/>
        <w:adjustRightInd w:val="0"/>
        <w:ind w:left="426" w:hanging="426"/>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690F76">
      <w:pPr>
        <w:pStyle w:val="Heading2"/>
        <w:spacing w:after="240"/>
      </w:pPr>
      <w:r>
        <w:lastRenderedPageBreak/>
        <w:t>Risk Management Implications</w:t>
      </w:r>
    </w:p>
    <w:p w14:paraId="564A448C" w14:textId="3962CF25" w:rsidR="007B6C97" w:rsidRPr="00690F76" w:rsidRDefault="00690F76" w:rsidP="00E54E13">
      <w:pPr>
        <w:numPr>
          <w:ilvl w:val="0"/>
          <w:numId w:val="18"/>
        </w:numPr>
        <w:autoSpaceDE w:val="0"/>
        <w:autoSpaceDN w:val="0"/>
        <w:adjustRightInd w:val="0"/>
        <w:ind w:left="426" w:hanging="426"/>
        <w:rPr>
          <w:rFonts w:cs="Arial"/>
          <w:color w:val="000000"/>
          <w:szCs w:val="24"/>
          <w:lang w:eastAsia="en-GB"/>
        </w:rPr>
      </w:pPr>
      <w:r w:rsidRPr="00690F76">
        <w:rPr>
          <w:szCs w:val="24"/>
          <w:lang w:val="en-US"/>
        </w:rPr>
        <w:t xml:space="preserve">Risks included on corporate or directorate risk register? </w:t>
      </w:r>
      <w:r w:rsidRPr="00690F76">
        <w:rPr>
          <w:b/>
          <w:bCs/>
          <w:szCs w:val="24"/>
          <w:lang w:val="en-US"/>
        </w:rPr>
        <w:t>No</w:t>
      </w:r>
      <w:r w:rsidRPr="00690F76">
        <w:rPr>
          <w:szCs w:val="24"/>
          <w:lang w:val="en-US"/>
        </w:rPr>
        <w:t xml:space="preserve"> </w:t>
      </w:r>
    </w:p>
    <w:p w14:paraId="0A3EA8F0" w14:textId="3C32E57C" w:rsidR="00690F76" w:rsidRPr="00690F76" w:rsidRDefault="00690F76" w:rsidP="00690F76">
      <w:pPr>
        <w:ind w:right="141" w:firstLine="426"/>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690F76">
      <w:pPr>
        <w:autoSpaceDE w:val="0"/>
        <w:autoSpaceDN w:val="0"/>
        <w:adjustRightInd w:val="0"/>
        <w:ind w:left="426"/>
        <w:rPr>
          <w:rFonts w:cs="Arial"/>
          <w:color w:val="000000"/>
          <w:szCs w:val="24"/>
          <w:lang w:eastAsia="en-GB"/>
        </w:rPr>
      </w:pPr>
    </w:p>
    <w:p w14:paraId="5914981F" w14:textId="393C6269" w:rsidR="003F5AF9" w:rsidRPr="003F5AF9" w:rsidRDefault="00690F76" w:rsidP="00E54E13">
      <w:pPr>
        <w:numPr>
          <w:ilvl w:val="0"/>
          <w:numId w:val="18"/>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EA3534">
        <w:t>was</w:t>
      </w:r>
      <w:r w:rsidR="003F5AF9">
        <w:t xml:space="preserve"> carried out </w:t>
      </w:r>
      <w:r w:rsidR="00EA3534">
        <w:t>at the Committee’s meeting on 24</w:t>
      </w:r>
      <w:r w:rsidR="00EA3534" w:rsidRPr="00EA3534">
        <w:rPr>
          <w:vertAlign w:val="superscript"/>
        </w:rPr>
        <w:t>th</w:t>
      </w:r>
      <w:r w:rsidR="00EA3534">
        <w:t xml:space="preserve"> June 2021.</w:t>
      </w:r>
      <w:r w:rsidR="003F5AF9">
        <w:t xml:space="preserve"> </w:t>
      </w:r>
    </w:p>
    <w:p w14:paraId="40F78A56" w14:textId="77777777" w:rsidR="003F5AF9" w:rsidRPr="003F5AF9" w:rsidRDefault="003F5AF9" w:rsidP="003F5AF9">
      <w:pPr>
        <w:autoSpaceDE w:val="0"/>
        <w:autoSpaceDN w:val="0"/>
        <w:adjustRightInd w:val="0"/>
        <w:ind w:left="426"/>
        <w:rPr>
          <w:rFonts w:cs="Arial"/>
          <w:color w:val="000000"/>
          <w:szCs w:val="24"/>
          <w:lang w:eastAsia="en-GB"/>
        </w:rPr>
      </w:pPr>
    </w:p>
    <w:p w14:paraId="2B078D5F" w14:textId="5FD08A4F" w:rsidR="003F5AF9" w:rsidRPr="00300B52" w:rsidRDefault="003F5AF9" w:rsidP="00E54E13">
      <w:pPr>
        <w:numPr>
          <w:ilvl w:val="0"/>
          <w:numId w:val="18"/>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3D2FFE">
      <w:pPr>
        <w:pStyle w:val="Heading2"/>
        <w:keepNext/>
        <w:spacing w:after="240"/>
      </w:pPr>
      <w:r w:rsidRPr="003F5AF9">
        <w:t>Equalities implications</w:t>
      </w:r>
      <w:r w:rsidR="00213BE7" w:rsidRPr="003F5AF9">
        <w:t xml:space="preserve"> / Public Sector Equality Duty </w:t>
      </w:r>
    </w:p>
    <w:p w14:paraId="45958F5A" w14:textId="77777777" w:rsidR="003F5AF9" w:rsidRPr="002E705F" w:rsidRDefault="003F5AF9" w:rsidP="00E54E13">
      <w:pPr>
        <w:numPr>
          <w:ilvl w:val="0"/>
          <w:numId w:val="18"/>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3F5AF9">
      <w:pPr>
        <w:autoSpaceDE w:val="0"/>
        <w:autoSpaceDN w:val="0"/>
        <w:adjustRightInd w:val="0"/>
        <w:ind w:left="426"/>
        <w:jc w:val="both"/>
      </w:pPr>
      <w:r w:rsidRPr="002E705F">
        <w:rPr>
          <w:szCs w:val="24"/>
        </w:rPr>
        <w:t>There are no direct equalities implications arising from this report.</w:t>
      </w:r>
    </w:p>
    <w:p w14:paraId="1EF4F8CB" w14:textId="77777777" w:rsidR="004B4A47" w:rsidRPr="003F5AF9" w:rsidRDefault="00AC0AAB" w:rsidP="00912904">
      <w:pPr>
        <w:pStyle w:val="Heading2"/>
        <w:spacing w:after="240"/>
      </w:pPr>
      <w:r w:rsidRPr="003F5AF9">
        <w:t xml:space="preserve">Council </w:t>
      </w:r>
      <w:r w:rsidR="004B4A47" w:rsidRPr="003F5AF9">
        <w:t>Priorities</w:t>
      </w:r>
    </w:p>
    <w:p w14:paraId="13CD0946" w14:textId="076684DD" w:rsidR="003F5AF9" w:rsidRPr="001C7067" w:rsidRDefault="003F5AF9" w:rsidP="00E54E13">
      <w:pPr>
        <w:numPr>
          <w:ilvl w:val="0"/>
          <w:numId w:val="18"/>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73018D18" w:rsidR="00912904" w:rsidRPr="00A66326" w:rsidRDefault="00912904" w:rsidP="00912904">
      <w:pPr>
        <w:rPr>
          <w:sz w:val="28"/>
        </w:rPr>
      </w:pPr>
      <w:r w:rsidRPr="00A66326">
        <w:rPr>
          <w:b/>
          <w:sz w:val="28"/>
        </w:rPr>
        <w:t xml:space="preserve">Statutory Officer:  </w:t>
      </w:r>
      <w:r w:rsidR="00506391">
        <w:rPr>
          <w:b/>
          <w:sz w:val="28"/>
        </w:rPr>
        <w:t xml:space="preserve">Dawn Calvert </w:t>
      </w:r>
    </w:p>
    <w:p w14:paraId="57640BD9" w14:textId="3A3DF721" w:rsidR="00912904" w:rsidRPr="00A66326" w:rsidRDefault="00912904" w:rsidP="00912904">
      <w:r w:rsidRPr="00A66326">
        <w:t>Signed by the Chief Financial Officer</w:t>
      </w:r>
    </w:p>
    <w:p w14:paraId="5745A2E3" w14:textId="56130E81" w:rsidR="00912904" w:rsidRPr="00A66326" w:rsidRDefault="00912904" w:rsidP="00912904">
      <w:pPr>
        <w:spacing w:after="480"/>
        <w:rPr>
          <w:sz w:val="28"/>
        </w:rPr>
      </w:pPr>
      <w:r w:rsidRPr="00A66326">
        <w:rPr>
          <w:b/>
          <w:sz w:val="28"/>
        </w:rPr>
        <w:t xml:space="preserve">Date:  </w:t>
      </w:r>
      <w:r w:rsidR="00502F94">
        <w:rPr>
          <w:b/>
          <w:sz w:val="28"/>
        </w:rPr>
        <w:t>10/11/2021</w:t>
      </w:r>
    </w:p>
    <w:p w14:paraId="2586CC50" w14:textId="3B03C712" w:rsidR="00912904" w:rsidRPr="00A66326" w:rsidRDefault="00912904" w:rsidP="00912904">
      <w:pPr>
        <w:rPr>
          <w:sz w:val="28"/>
        </w:rPr>
      </w:pPr>
      <w:r w:rsidRPr="00A66326">
        <w:rPr>
          <w:b/>
          <w:sz w:val="28"/>
        </w:rPr>
        <w:t xml:space="preserve">Statutory Officer:  </w:t>
      </w:r>
      <w:r w:rsidR="00857085">
        <w:rPr>
          <w:b/>
          <w:sz w:val="28"/>
        </w:rPr>
        <w:t>Caroline Eccles</w:t>
      </w:r>
    </w:p>
    <w:p w14:paraId="3F58D77A" w14:textId="5B53C837" w:rsidR="00912904" w:rsidRPr="00A66326" w:rsidRDefault="00912904" w:rsidP="00912904">
      <w:r w:rsidRPr="00A66326">
        <w:t>Signed on behalf of the Monitoring Officer</w:t>
      </w:r>
    </w:p>
    <w:p w14:paraId="61F8C7E6" w14:textId="5030B107" w:rsidR="00912904" w:rsidRPr="003313EA" w:rsidRDefault="00912904" w:rsidP="00912904">
      <w:pPr>
        <w:spacing w:after="480"/>
        <w:rPr>
          <w:sz w:val="28"/>
        </w:rPr>
      </w:pPr>
      <w:r w:rsidRPr="00A66326">
        <w:rPr>
          <w:b/>
          <w:sz w:val="28"/>
        </w:rPr>
        <w:t xml:space="preserve">Date:  </w:t>
      </w:r>
      <w:r w:rsidR="00857085">
        <w:rPr>
          <w:b/>
          <w:sz w:val="28"/>
        </w:rPr>
        <w:t>15/11/2021</w:t>
      </w:r>
    </w:p>
    <w:p w14:paraId="2019A53D" w14:textId="0DEB32CB" w:rsidR="00912904" w:rsidRPr="00A66326" w:rsidRDefault="004A4A1D" w:rsidP="00912904">
      <w:pPr>
        <w:rPr>
          <w:sz w:val="28"/>
        </w:rPr>
      </w:pPr>
      <w:r>
        <w:rPr>
          <w:b/>
          <w:sz w:val="28"/>
        </w:rPr>
        <w:t>Chief</w:t>
      </w:r>
      <w:r w:rsidR="00912904" w:rsidRPr="00A66326">
        <w:rPr>
          <w:b/>
          <w:sz w:val="28"/>
        </w:rPr>
        <w:t xml:space="preserve"> Officer:  </w:t>
      </w:r>
      <w:r w:rsidR="00502F94">
        <w:rPr>
          <w:b/>
          <w:sz w:val="28"/>
        </w:rPr>
        <w:t>Dawn Calvert</w:t>
      </w:r>
    </w:p>
    <w:p w14:paraId="12E4D11B" w14:textId="76F2EFA3" w:rsidR="00912904" w:rsidRPr="00A66326" w:rsidRDefault="00365D29" w:rsidP="00912904">
      <w:r>
        <w:t>Signed</w:t>
      </w:r>
      <w:r w:rsidR="00912904" w:rsidRPr="00A66326">
        <w:t xml:space="preserve"> </w:t>
      </w:r>
      <w:r w:rsidR="00017448">
        <w:t>on behalf of</w:t>
      </w:r>
      <w:r w:rsidR="00912904" w:rsidRPr="00A66326">
        <w:t xml:space="preserve"> the Corporate Director</w:t>
      </w:r>
    </w:p>
    <w:p w14:paraId="21482980" w14:textId="5AC92E49" w:rsidR="00912904" w:rsidRPr="00A66326" w:rsidRDefault="00912904" w:rsidP="001C7067">
      <w:pPr>
        <w:tabs>
          <w:tab w:val="left" w:pos="1093"/>
          <w:tab w:val="left" w:pos="1579"/>
        </w:tabs>
        <w:spacing w:after="480"/>
        <w:rPr>
          <w:sz w:val="28"/>
        </w:rPr>
      </w:pPr>
      <w:r w:rsidRPr="00A66326">
        <w:rPr>
          <w:b/>
          <w:sz w:val="28"/>
        </w:rPr>
        <w:t xml:space="preserve">Date:  </w:t>
      </w:r>
      <w:r w:rsidR="00502F94">
        <w:rPr>
          <w:b/>
          <w:sz w:val="28"/>
        </w:rPr>
        <w:t>11/11/2021</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lastRenderedPageBreak/>
        <w:t>Section 4 - Contact Details and Background Papers</w:t>
      </w:r>
    </w:p>
    <w:p w14:paraId="00E78799" w14:textId="77777777" w:rsidR="007B6C97" w:rsidRDefault="002A2389" w:rsidP="007B6C97">
      <w:pPr>
        <w:pStyle w:val="Infotext"/>
        <w:rPr>
          <w:sz w:val="24"/>
          <w:szCs w:val="24"/>
        </w:rPr>
      </w:pPr>
      <w:r w:rsidRPr="00D914D2">
        <w:rPr>
          <w:b/>
        </w:rPr>
        <w:t>Contact:</w:t>
      </w:r>
      <w:r>
        <w:t xml:space="preserve">  </w:t>
      </w:r>
      <w:r w:rsidR="007B6C97" w:rsidRPr="00A175BD">
        <w:rPr>
          <w:sz w:val="24"/>
          <w:szCs w:val="24"/>
        </w:rPr>
        <w:t xml:space="preserve">Jeremy Randall – Interim Pensions </w:t>
      </w:r>
      <w:r w:rsidR="007B6C97">
        <w:rPr>
          <w:sz w:val="24"/>
          <w:szCs w:val="24"/>
        </w:rPr>
        <w:t>Manager</w:t>
      </w:r>
    </w:p>
    <w:p w14:paraId="4D49A816" w14:textId="77777777" w:rsidR="007B6C97" w:rsidRDefault="007B6C97" w:rsidP="007B6C97">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1DC233FB" w14:textId="77777777" w:rsidR="007B6C97" w:rsidRPr="00DD6270" w:rsidRDefault="007B6C97" w:rsidP="007B6C97">
      <w:pPr>
        <w:pStyle w:val="Infotext"/>
      </w:pPr>
      <w:r w:rsidRPr="00DD6270">
        <w:rPr>
          <w:rStyle w:val="Hyperlink"/>
          <w:color w:val="auto"/>
          <w:sz w:val="24"/>
          <w:szCs w:val="24"/>
          <w:u w:val="none"/>
        </w:rPr>
        <w:t>Telephone 020 8</w:t>
      </w:r>
      <w:r>
        <w:rPr>
          <w:rStyle w:val="Hyperlink"/>
          <w:color w:val="auto"/>
          <w:sz w:val="24"/>
          <w:szCs w:val="24"/>
          <w:u w:val="none"/>
        </w:rPr>
        <w:t>736 6552</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7"/>
  </w:num>
  <w:num w:numId="9">
    <w:abstractNumId w:val="5"/>
  </w:num>
  <w:num w:numId="10">
    <w:abstractNumId w:val="17"/>
  </w:num>
  <w:num w:numId="11">
    <w:abstractNumId w:val="22"/>
  </w:num>
  <w:num w:numId="12">
    <w:abstractNumId w:val="16"/>
  </w:num>
  <w:num w:numId="13">
    <w:abstractNumId w:val="2"/>
  </w:num>
  <w:num w:numId="14">
    <w:abstractNumId w:val="9"/>
  </w:num>
  <w:num w:numId="15">
    <w:abstractNumId w:val="12"/>
  </w:num>
  <w:num w:numId="16">
    <w:abstractNumId w:val="6"/>
  </w:num>
  <w:num w:numId="17">
    <w:abstractNumId w:val="21"/>
  </w:num>
  <w:num w:numId="18">
    <w:abstractNumId w:val="20"/>
  </w:num>
  <w:num w:numId="19">
    <w:abstractNumId w:val="14"/>
  </w:num>
  <w:num w:numId="20">
    <w:abstractNumId w:val="0"/>
  </w:num>
  <w:num w:numId="21">
    <w:abstractNumId w:val="4"/>
  </w:num>
  <w:num w:numId="22">
    <w:abstractNumId w:val="15"/>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7448"/>
    <w:rsid w:val="00023F4C"/>
    <w:rsid w:val="00057F10"/>
    <w:rsid w:val="00061BEF"/>
    <w:rsid w:val="000633A2"/>
    <w:rsid w:val="00071EB4"/>
    <w:rsid w:val="00077298"/>
    <w:rsid w:val="000A0114"/>
    <w:rsid w:val="000A58A1"/>
    <w:rsid w:val="000A6659"/>
    <w:rsid w:val="000B0E6F"/>
    <w:rsid w:val="000B6DBB"/>
    <w:rsid w:val="000D2BF2"/>
    <w:rsid w:val="000D5870"/>
    <w:rsid w:val="000F65C0"/>
    <w:rsid w:val="001939BA"/>
    <w:rsid w:val="001A63E1"/>
    <w:rsid w:val="001A6EB0"/>
    <w:rsid w:val="001A7DB6"/>
    <w:rsid w:val="001B441D"/>
    <w:rsid w:val="001C5225"/>
    <w:rsid w:val="001C7067"/>
    <w:rsid w:val="001C7629"/>
    <w:rsid w:val="001E0219"/>
    <w:rsid w:val="00201A56"/>
    <w:rsid w:val="002025B3"/>
    <w:rsid w:val="00213BE7"/>
    <w:rsid w:val="00231A1D"/>
    <w:rsid w:val="00244120"/>
    <w:rsid w:val="00282DAB"/>
    <w:rsid w:val="00286484"/>
    <w:rsid w:val="00293F9F"/>
    <w:rsid w:val="002A2389"/>
    <w:rsid w:val="002C08E2"/>
    <w:rsid w:val="002C1794"/>
    <w:rsid w:val="002D2FC5"/>
    <w:rsid w:val="002E6637"/>
    <w:rsid w:val="002E77E3"/>
    <w:rsid w:val="00300B52"/>
    <w:rsid w:val="00324778"/>
    <w:rsid w:val="00332947"/>
    <w:rsid w:val="00333EB4"/>
    <w:rsid w:val="00340BE8"/>
    <w:rsid w:val="003453FF"/>
    <w:rsid w:val="00345915"/>
    <w:rsid w:val="00365D29"/>
    <w:rsid w:val="00374F22"/>
    <w:rsid w:val="003D2FFE"/>
    <w:rsid w:val="003D5F0A"/>
    <w:rsid w:val="003F5AF9"/>
    <w:rsid w:val="00400032"/>
    <w:rsid w:val="00414C40"/>
    <w:rsid w:val="0042394B"/>
    <w:rsid w:val="0044467B"/>
    <w:rsid w:val="00473B08"/>
    <w:rsid w:val="00474B5F"/>
    <w:rsid w:val="004A3CE6"/>
    <w:rsid w:val="004A4A1D"/>
    <w:rsid w:val="004B2C9D"/>
    <w:rsid w:val="004B4A47"/>
    <w:rsid w:val="004C1AEC"/>
    <w:rsid w:val="004E667D"/>
    <w:rsid w:val="004E6AF9"/>
    <w:rsid w:val="004F6C28"/>
    <w:rsid w:val="00502F94"/>
    <w:rsid w:val="005031DF"/>
    <w:rsid w:val="0050363C"/>
    <w:rsid w:val="00506391"/>
    <w:rsid w:val="0053037D"/>
    <w:rsid w:val="00561EC5"/>
    <w:rsid w:val="00597314"/>
    <w:rsid w:val="005A61AF"/>
    <w:rsid w:val="005B1C57"/>
    <w:rsid w:val="005D0886"/>
    <w:rsid w:val="005D0D93"/>
    <w:rsid w:val="005D43D1"/>
    <w:rsid w:val="005E384D"/>
    <w:rsid w:val="005F2181"/>
    <w:rsid w:val="005F724B"/>
    <w:rsid w:val="00606705"/>
    <w:rsid w:val="00625DFF"/>
    <w:rsid w:val="0063072B"/>
    <w:rsid w:val="00662891"/>
    <w:rsid w:val="006628B7"/>
    <w:rsid w:val="00675FCB"/>
    <w:rsid w:val="00690F76"/>
    <w:rsid w:val="00696012"/>
    <w:rsid w:val="006A0B87"/>
    <w:rsid w:val="006B3942"/>
    <w:rsid w:val="006C3914"/>
    <w:rsid w:val="006C4D4C"/>
    <w:rsid w:val="006D3648"/>
    <w:rsid w:val="00717E8A"/>
    <w:rsid w:val="0074184E"/>
    <w:rsid w:val="00743829"/>
    <w:rsid w:val="00755F8D"/>
    <w:rsid w:val="00784A42"/>
    <w:rsid w:val="007855AE"/>
    <w:rsid w:val="00796503"/>
    <w:rsid w:val="0079669A"/>
    <w:rsid w:val="007B0CB6"/>
    <w:rsid w:val="007B1BBB"/>
    <w:rsid w:val="007B6C97"/>
    <w:rsid w:val="007D2BDA"/>
    <w:rsid w:val="007D56C8"/>
    <w:rsid w:val="007E3934"/>
    <w:rsid w:val="007E7303"/>
    <w:rsid w:val="008212A0"/>
    <w:rsid w:val="0082172F"/>
    <w:rsid w:val="00837F53"/>
    <w:rsid w:val="00857085"/>
    <w:rsid w:val="00862DDC"/>
    <w:rsid w:val="008D1750"/>
    <w:rsid w:val="008D7800"/>
    <w:rsid w:val="008E2910"/>
    <w:rsid w:val="008E4913"/>
    <w:rsid w:val="00900464"/>
    <w:rsid w:val="0090100E"/>
    <w:rsid w:val="00912904"/>
    <w:rsid w:val="0093767E"/>
    <w:rsid w:val="00960AE2"/>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C0AAB"/>
    <w:rsid w:val="00AC5593"/>
    <w:rsid w:val="00AC7BA9"/>
    <w:rsid w:val="00B0425E"/>
    <w:rsid w:val="00B161A9"/>
    <w:rsid w:val="00B900E2"/>
    <w:rsid w:val="00B9118E"/>
    <w:rsid w:val="00BD6115"/>
    <w:rsid w:val="00BD684A"/>
    <w:rsid w:val="00C13B81"/>
    <w:rsid w:val="00C24A81"/>
    <w:rsid w:val="00C32DAE"/>
    <w:rsid w:val="00C40E24"/>
    <w:rsid w:val="00C61B80"/>
    <w:rsid w:val="00C92D9A"/>
    <w:rsid w:val="00C96EF5"/>
    <w:rsid w:val="00CE4CCF"/>
    <w:rsid w:val="00D03EA3"/>
    <w:rsid w:val="00D24092"/>
    <w:rsid w:val="00D25064"/>
    <w:rsid w:val="00D32B51"/>
    <w:rsid w:val="00D34668"/>
    <w:rsid w:val="00D3740E"/>
    <w:rsid w:val="00D40335"/>
    <w:rsid w:val="00D82F57"/>
    <w:rsid w:val="00D841A5"/>
    <w:rsid w:val="00D914D2"/>
    <w:rsid w:val="00DA25DB"/>
    <w:rsid w:val="00DB0791"/>
    <w:rsid w:val="00DC5D82"/>
    <w:rsid w:val="00DD4251"/>
    <w:rsid w:val="00DF30E7"/>
    <w:rsid w:val="00E02B50"/>
    <w:rsid w:val="00E03F11"/>
    <w:rsid w:val="00E06DC8"/>
    <w:rsid w:val="00E220B5"/>
    <w:rsid w:val="00E33D93"/>
    <w:rsid w:val="00E53623"/>
    <w:rsid w:val="00E54E13"/>
    <w:rsid w:val="00E609EF"/>
    <w:rsid w:val="00E6612A"/>
    <w:rsid w:val="00E8515B"/>
    <w:rsid w:val="00E90AFF"/>
    <w:rsid w:val="00E94032"/>
    <w:rsid w:val="00EA3534"/>
    <w:rsid w:val="00EC70CD"/>
    <w:rsid w:val="00EF2F91"/>
    <w:rsid w:val="00F23DA0"/>
    <w:rsid w:val="00F33EE3"/>
    <w:rsid w:val="00F4213B"/>
    <w:rsid w:val="00F7686B"/>
    <w:rsid w:val="00F806B8"/>
    <w:rsid w:val="00F849ED"/>
    <w:rsid w:val="00F92398"/>
    <w:rsid w:val="00FC3F6A"/>
    <w:rsid w:val="00FD31A0"/>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1810</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12</cp:revision>
  <cp:lastPrinted>2007-07-12T09:53:00Z</cp:lastPrinted>
  <dcterms:created xsi:type="dcterms:W3CDTF">2021-11-10T15:39:00Z</dcterms:created>
  <dcterms:modified xsi:type="dcterms:W3CDTF">2021-11-18T17:51:00Z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